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4160F" w14:textId="77777777" w:rsidR="00C11C44" w:rsidRPr="0049657E" w:rsidRDefault="00A979F0" w:rsidP="00A979F0">
      <w:pPr>
        <w:tabs>
          <w:tab w:val="left" w:pos="1095"/>
          <w:tab w:val="right" w:pos="8504"/>
        </w:tabs>
        <w:spacing w:after="120"/>
        <w:ind w:firstLine="360"/>
        <w:jc w:val="left"/>
        <w:rPr>
          <w:rFonts w:cs="Arial"/>
          <w:sz w:val="22"/>
        </w:rPr>
      </w:pPr>
      <w:bookmarkStart w:id="0" w:name="_GoBack"/>
      <w:bookmarkEnd w:id="0"/>
      <w:r>
        <w:rPr>
          <w:rFonts w:cs="Arial"/>
          <w:sz w:val="22"/>
        </w:rPr>
        <w:tab/>
      </w:r>
      <w:r>
        <w:rPr>
          <w:rFonts w:cs="Arial"/>
          <w:sz w:val="22"/>
        </w:rPr>
        <w:tab/>
      </w:r>
      <w:r w:rsidR="00C11C44" w:rsidRPr="0049657E">
        <w:rPr>
          <w:rFonts w:cs="Arial"/>
          <w:sz w:val="22"/>
        </w:rPr>
        <w:t>Allegato</w:t>
      </w:r>
      <w:r w:rsidR="00D41602" w:rsidRPr="0049657E">
        <w:rPr>
          <w:rFonts w:cs="Arial"/>
          <w:sz w:val="22"/>
        </w:rPr>
        <w:t xml:space="preserve"> alla Delibera n. 24</w:t>
      </w:r>
      <w:r w:rsidR="00D51BB6" w:rsidRPr="0049657E">
        <w:rPr>
          <w:rFonts w:cs="Arial"/>
          <w:sz w:val="22"/>
        </w:rPr>
        <w:t>/20</w:t>
      </w:r>
      <w:r w:rsidR="00D41602" w:rsidRPr="0049657E">
        <w:rPr>
          <w:rFonts w:cs="Arial"/>
          <w:sz w:val="22"/>
        </w:rPr>
        <w:t>20</w:t>
      </w:r>
    </w:p>
    <w:p w14:paraId="434EEC6E" w14:textId="77777777" w:rsidR="00045CCF" w:rsidRPr="0049657E" w:rsidRDefault="00045CCF" w:rsidP="00A979F0">
      <w:pPr>
        <w:tabs>
          <w:tab w:val="left" w:pos="1095"/>
          <w:tab w:val="right" w:pos="8504"/>
        </w:tabs>
        <w:spacing w:after="120"/>
        <w:ind w:firstLine="360"/>
        <w:jc w:val="left"/>
        <w:rPr>
          <w:rFonts w:cs="Arial"/>
          <w:sz w:val="22"/>
        </w:rPr>
      </w:pPr>
    </w:p>
    <w:p w14:paraId="45D10D88" w14:textId="77777777" w:rsidR="00045CCF" w:rsidRPr="0049657E" w:rsidRDefault="00045CCF" w:rsidP="00045CCF">
      <w:pPr>
        <w:keepNext/>
        <w:tabs>
          <w:tab w:val="left" w:pos="8504"/>
        </w:tabs>
        <w:spacing w:before="40" w:after="40"/>
        <w:ind w:right="-1"/>
        <w:jc w:val="center"/>
        <w:outlineLvl w:val="0"/>
        <w:rPr>
          <w:rFonts w:cs="Arial"/>
          <w:sz w:val="22"/>
          <w:szCs w:val="22"/>
        </w:rPr>
      </w:pPr>
      <w:r w:rsidRPr="0049657E">
        <w:rPr>
          <w:rFonts w:cs="Arial"/>
          <w:sz w:val="22"/>
          <w:szCs w:val="22"/>
        </w:rPr>
        <w:t>PROGRAMMA DELLE INFRASTRUTTURE STRATEGICHE (LEGGE N. 443/2001)</w:t>
      </w:r>
    </w:p>
    <w:p w14:paraId="0000E9FC" w14:textId="77777777" w:rsidR="00045CCF" w:rsidRPr="0049657E" w:rsidRDefault="00045CCF" w:rsidP="00045CCF">
      <w:pPr>
        <w:keepNext/>
        <w:spacing w:before="40" w:after="40"/>
        <w:ind w:left="482" w:right="465"/>
        <w:jc w:val="center"/>
        <w:outlineLvl w:val="0"/>
        <w:rPr>
          <w:rFonts w:cs="Arial"/>
          <w:sz w:val="22"/>
          <w:szCs w:val="22"/>
        </w:rPr>
      </w:pPr>
      <w:r w:rsidRPr="0049657E">
        <w:rPr>
          <w:rFonts w:cs="Arial"/>
          <w:sz w:val="22"/>
          <w:szCs w:val="22"/>
        </w:rPr>
        <w:t>VIA DEL MARE: COLLEGAMENTO A4-JESOLO E LITORALI</w:t>
      </w:r>
    </w:p>
    <w:p w14:paraId="3E1D1847" w14:textId="77777777" w:rsidR="00045CCF" w:rsidRPr="0049657E" w:rsidRDefault="00045CCF" w:rsidP="00045CCF">
      <w:pPr>
        <w:keepNext/>
        <w:spacing w:before="40" w:after="40"/>
        <w:ind w:left="482" w:right="465"/>
        <w:jc w:val="center"/>
        <w:outlineLvl w:val="0"/>
        <w:rPr>
          <w:rFonts w:cs="Arial"/>
          <w:sz w:val="22"/>
          <w:szCs w:val="22"/>
        </w:rPr>
      </w:pPr>
      <w:r w:rsidRPr="0049657E">
        <w:rPr>
          <w:rFonts w:cs="Arial"/>
          <w:sz w:val="22"/>
          <w:szCs w:val="22"/>
        </w:rPr>
        <w:t>PARERE SULLO SCHEMA DI CONVENZIONE DELLA</w:t>
      </w:r>
    </w:p>
    <w:p w14:paraId="7D392A51" w14:textId="77777777" w:rsidR="00045CCF" w:rsidRPr="0049657E" w:rsidRDefault="00045CCF" w:rsidP="00045CCF">
      <w:pPr>
        <w:keepNext/>
        <w:spacing w:before="40" w:after="40"/>
        <w:ind w:left="482" w:right="465"/>
        <w:jc w:val="center"/>
        <w:outlineLvl w:val="0"/>
        <w:rPr>
          <w:rFonts w:cs="Arial"/>
          <w:sz w:val="22"/>
          <w:szCs w:val="22"/>
        </w:rPr>
      </w:pPr>
      <w:r w:rsidRPr="0049657E">
        <w:rPr>
          <w:rFonts w:cs="Arial"/>
          <w:sz w:val="22"/>
          <w:szCs w:val="22"/>
        </w:rPr>
        <w:t xml:space="preserve">PROPOSTA DI </w:t>
      </w:r>
      <w:r w:rsidRPr="0049657E">
        <w:rPr>
          <w:rFonts w:cs="Arial"/>
          <w:i/>
          <w:iCs/>
          <w:sz w:val="22"/>
          <w:szCs w:val="22"/>
        </w:rPr>
        <w:t>PROJECT FINANCING</w:t>
      </w:r>
    </w:p>
    <w:p w14:paraId="15195AD7" w14:textId="77777777" w:rsidR="00045CCF" w:rsidRPr="0049657E" w:rsidRDefault="00045CCF" w:rsidP="00045CCF">
      <w:pPr>
        <w:keepNext/>
        <w:spacing w:before="40" w:after="40"/>
        <w:ind w:left="482" w:right="465"/>
        <w:jc w:val="center"/>
        <w:outlineLvl w:val="0"/>
        <w:rPr>
          <w:rFonts w:cs="Arial"/>
          <w:sz w:val="22"/>
          <w:szCs w:val="22"/>
        </w:rPr>
      </w:pPr>
      <w:r w:rsidRPr="0049657E">
        <w:rPr>
          <w:rFonts w:cs="Arial"/>
          <w:sz w:val="22"/>
          <w:szCs w:val="22"/>
        </w:rPr>
        <w:t>CUP (H41B0900116005)</w:t>
      </w:r>
    </w:p>
    <w:p w14:paraId="08BEB5DD" w14:textId="77777777" w:rsidR="00C11C44" w:rsidRPr="0049657E" w:rsidRDefault="00C11C44" w:rsidP="008A0A9E">
      <w:pPr>
        <w:spacing w:after="120"/>
        <w:ind w:firstLine="360"/>
        <w:rPr>
          <w:rFonts w:cs="Arial"/>
          <w:i/>
          <w:sz w:val="22"/>
        </w:rPr>
      </w:pPr>
    </w:p>
    <w:p w14:paraId="175384E7" w14:textId="77777777" w:rsidR="00C11C44" w:rsidRPr="0049657E" w:rsidRDefault="00D41602" w:rsidP="005A1ED4">
      <w:pPr>
        <w:spacing w:after="120"/>
        <w:ind w:firstLine="360"/>
        <w:rPr>
          <w:rFonts w:cs="Arial"/>
          <w:sz w:val="22"/>
        </w:rPr>
      </w:pPr>
      <w:r w:rsidRPr="0049657E">
        <w:rPr>
          <w:rFonts w:cs="Arial"/>
          <w:sz w:val="22"/>
        </w:rPr>
        <w:t>Raccomandazioni</w:t>
      </w:r>
    </w:p>
    <w:p w14:paraId="7A1E4C6F" w14:textId="192A1942" w:rsidR="00217A33" w:rsidRPr="0049657E" w:rsidRDefault="00C11C44" w:rsidP="00217A33">
      <w:pPr>
        <w:numPr>
          <w:ilvl w:val="0"/>
          <w:numId w:val="8"/>
        </w:numPr>
        <w:spacing w:after="120"/>
        <w:rPr>
          <w:bCs/>
          <w:sz w:val="22"/>
          <w:szCs w:val="22"/>
        </w:rPr>
      </w:pPr>
      <w:r w:rsidRPr="0049657E">
        <w:rPr>
          <w:rFonts w:cs="Arial"/>
          <w:sz w:val="22"/>
        </w:rPr>
        <w:t>Ai sensi dell’art</w:t>
      </w:r>
      <w:r w:rsidR="003230D5" w:rsidRPr="0049657E">
        <w:rPr>
          <w:rFonts w:cs="Arial"/>
          <w:sz w:val="22"/>
        </w:rPr>
        <w:t>icolo</w:t>
      </w:r>
      <w:r w:rsidRPr="0049657E">
        <w:rPr>
          <w:rFonts w:cs="Arial"/>
          <w:sz w:val="22"/>
        </w:rPr>
        <w:t xml:space="preserve"> 143</w:t>
      </w:r>
      <w:r w:rsidR="00E35DB2">
        <w:rPr>
          <w:rFonts w:cs="Arial"/>
          <w:sz w:val="22"/>
        </w:rPr>
        <w:t xml:space="preserve">, </w:t>
      </w:r>
      <w:r w:rsidR="00711A9B">
        <w:rPr>
          <w:rFonts w:cs="Arial"/>
          <w:sz w:val="22"/>
        </w:rPr>
        <w:t>comma 8-</w:t>
      </w:r>
      <w:r w:rsidR="00E35DB2" w:rsidRPr="0049657E">
        <w:rPr>
          <w:rFonts w:cs="Arial"/>
          <w:i/>
          <w:iCs/>
          <w:sz w:val="22"/>
        </w:rPr>
        <w:t>bis</w:t>
      </w:r>
      <w:r w:rsidR="00711A9B">
        <w:rPr>
          <w:rFonts w:cs="Arial"/>
          <w:i/>
          <w:iCs/>
          <w:sz w:val="22"/>
        </w:rPr>
        <w:t>,</w:t>
      </w:r>
      <w:r w:rsidRPr="0049657E">
        <w:rPr>
          <w:rFonts w:cs="Arial"/>
          <w:sz w:val="22"/>
        </w:rPr>
        <w:t xml:space="preserve"> del </w:t>
      </w:r>
      <w:r w:rsidR="00E35DB2">
        <w:rPr>
          <w:rFonts w:cs="Arial"/>
          <w:sz w:val="22"/>
        </w:rPr>
        <w:t xml:space="preserve">decreto legislativo n.163 del 2006, </w:t>
      </w:r>
      <w:r w:rsidRPr="0049657E">
        <w:rPr>
          <w:rFonts w:cs="Arial"/>
          <w:sz w:val="22"/>
        </w:rPr>
        <w:t>lo schema di convenzione deve essere integrato con la definizione dei presupposti e dell</w:t>
      </w:r>
      <w:r w:rsidR="00E35DB2">
        <w:rPr>
          <w:rFonts w:cs="Arial"/>
          <w:sz w:val="22"/>
        </w:rPr>
        <w:t>e condizioni di base del Piano economico f</w:t>
      </w:r>
      <w:r w:rsidRPr="0049657E">
        <w:rPr>
          <w:rFonts w:cs="Arial"/>
          <w:sz w:val="22"/>
        </w:rPr>
        <w:t>inanziario</w:t>
      </w:r>
      <w:r w:rsidR="0011515D" w:rsidRPr="0049657E">
        <w:rPr>
          <w:rFonts w:cs="Arial"/>
          <w:sz w:val="22"/>
        </w:rPr>
        <w:t>, di seguito PEF</w:t>
      </w:r>
      <w:r w:rsidRPr="0049657E">
        <w:rPr>
          <w:rFonts w:cs="Arial"/>
          <w:sz w:val="22"/>
        </w:rPr>
        <w:t xml:space="preserve"> le cui variazioni, se non imputabili al concessionario e qualora determinino una modifica dell’equilibrio del PEF medesimo, ne comportano la revisione. </w:t>
      </w:r>
      <w:r w:rsidR="00217A33" w:rsidRPr="0049657E">
        <w:rPr>
          <w:rFonts w:cs="Arial"/>
          <w:sz w:val="22"/>
        </w:rPr>
        <w:t>In particolare, al fine di evitare che il riequilibrio economico</w:t>
      </w:r>
      <w:r w:rsidR="00BA46A4" w:rsidRPr="0049657E">
        <w:rPr>
          <w:bCs/>
          <w:sz w:val="22"/>
          <w:szCs w:val="22"/>
        </w:rPr>
        <w:t>-</w:t>
      </w:r>
      <w:r w:rsidR="00217A33" w:rsidRPr="0049657E">
        <w:rPr>
          <w:bCs/>
          <w:sz w:val="22"/>
          <w:szCs w:val="22"/>
        </w:rPr>
        <w:t>finanziario degli investimenti e della connessa gestione dipenda da eventi non puntualmente specificati con l’effetto di trasferire il rischio di realizzazione ed esercizio dell’opera sul concedente pubblico, il 16° alinea delle premesse deve essere modificato:</w:t>
      </w:r>
    </w:p>
    <w:p w14:paraId="77673934" w14:textId="3E689A85" w:rsidR="00217A33" w:rsidRPr="0049657E" w:rsidRDefault="00217A33" w:rsidP="00217A33">
      <w:pPr>
        <w:numPr>
          <w:ilvl w:val="0"/>
          <w:numId w:val="15"/>
        </w:numPr>
        <w:spacing w:after="120"/>
        <w:rPr>
          <w:bCs/>
          <w:sz w:val="22"/>
          <w:szCs w:val="22"/>
        </w:rPr>
      </w:pPr>
      <w:r w:rsidRPr="0049657E">
        <w:rPr>
          <w:bCs/>
          <w:sz w:val="22"/>
          <w:szCs w:val="22"/>
        </w:rPr>
        <w:t xml:space="preserve">sostituendo la generica formulazione della lettera </w:t>
      </w:r>
      <w:r w:rsidRPr="00E35DB2">
        <w:rPr>
          <w:bCs/>
          <w:i/>
          <w:sz w:val="22"/>
          <w:szCs w:val="22"/>
        </w:rPr>
        <w:t>e)</w:t>
      </w:r>
      <w:r w:rsidR="00711A9B">
        <w:rPr>
          <w:bCs/>
          <w:i/>
          <w:sz w:val="22"/>
          <w:szCs w:val="22"/>
        </w:rPr>
        <w:t>,</w:t>
      </w:r>
      <w:r w:rsidRPr="0049657E">
        <w:rPr>
          <w:bCs/>
          <w:sz w:val="22"/>
          <w:szCs w:val="22"/>
        </w:rPr>
        <w:t xml:space="preserve"> con una più precisa indicazione dei principali presupposti e condizioni a base del </w:t>
      </w:r>
      <w:r w:rsidR="00C351A1" w:rsidRPr="0049657E">
        <w:rPr>
          <w:bCs/>
          <w:sz w:val="22"/>
          <w:szCs w:val="22"/>
        </w:rPr>
        <w:t>PEF;</w:t>
      </w:r>
    </w:p>
    <w:p w14:paraId="4E0A7BE5" w14:textId="6A892449" w:rsidR="001C7D22" w:rsidRPr="0049657E" w:rsidRDefault="00217A33" w:rsidP="001C7D22">
      <w:pPr>
        <w:numPr>
          <w:ilvl w:val="0"/>
          <w:numId w:val="15"/>
        </w:numPr>
        <w:spacing w:after="120"/>
        <w:rPr>
          <w:bCs/>
          <w:sz w:val="22"/>
          <w:szCs w:val="22"/>
        </w:rPr>
      </w:pPr>
      <w:r w:rsidRPr="0049657E">
        <w:rPr>
          <w:bCs/>
          <w:sz w:val="22"/>
          <w:szCs w:val="22"/>
        </w:rPr>
        <w:t xml:space="preserve">espungendo la lettera </w:t>
      </w:r>
      <w:r w:rsidRPr="00E35DB2">
        <w:rPr>
          <w:bCs/>
          <w:i/>
          <w:sz w:val="22"/>
          <w:szCs w:val="22"/>
        </w:rPr>
        <w:t>f</w:t>
      </w:r>
      <w:r w:rsidRPr="0049657E">
        <w:rPr>
          <w:bCs/>
          <w:sz w:val="22"/>
          <w:szCs w:val="22"/>
        </w:rPr>
        <w:t>)</w:t>
      </w:r>
      <w:r w:rsidR="00711A9B">
        <w:rPr>
          <w:bCs/>
          <w:sz w:val="22"/>
          <w:szCs w:val="22"/>
        </w:rPr>
        <w:t>,</w:t>
      </w:r>
      <w:r w:rsidRPr="0049657E">
        <w:rPr>
          <w:bCs/>
          <w:sz w:val="22"/>
          <w:szCs w:val="22"/>
        </w:rPr>
        <w:t xml:space="preserve"> poiché il profilo di rischio dell’opera, che influisce sulle condizioni di riequilibrio, dipenderebbe dai contenuti di un “accordo diretto tra il concessionario gli istituti finanziatori”, ancora da sottoscrivere e di cui il concedente non è parte.</w:t>
      </w:r>
    </w:p>
    <w:p w14:paraId="033FF1B6" w14:textId="271BB328" w:rsidR="001C7D22" w:rsidRPr="0049657E" w:rsidRDefault="001C7D22" w:rsidP="001C7D22">
      <w:pPr>
        <w:spacing w:after="120"/>
        <w:ind w:left="708"/>
        <w:rPr>
          <w:rFonts w:cs="Arial"/>
          <w:sz w:val="22"/>
        </w:rPr>
      </w:pPr>
      <w:r w:rsidRPr="0049657E">
        <w:rPr>
          <w:rFonts w:cs="Arial"/>
          <w:sz w:val="22"/>
        </w:rPr>
        <w:t>Andrebbe</w:t>
      </w:r>
      <w:r w:rsidR="00E35DB2">
        <w:rPr>
          <w:rFonts w:cs="Arial"/>
          <w:sz w:val="22"/>
        </w:rPr>
        <w:t>,</w:t>
      </w:r>
      <w:r w:rsidRPr="0049657E">
        <w:rPr>
          <w:rFonts w:cs="Arial"/>
          <w:sz w:val="22"/>
        </w:rPr>
        <w:t xml:space="preserve"> inoltre</w:t>
      </w:r>
      <w:r w:rsidR="00E35DB2">
        <w:rPr>
          <w:rFonts w:cs="Arial"/>
          <w:sz w:val="22"/>
        </w:rPr>
        <w:t>,</w:t>
      </w:r>
      <w:r w:rsidRPr="0049657E">
        <w:rPr>
          <w:rFonts w:cs="Arial"/>
          <w:sz w:val="22"/>
        </w:rPr>
        <w:t xml:space="preserve"> </w:t>
      </w:r>
      <w:r w:rsidR="00E35DB2">
        <w:rPr>
          <w:rFonts w:cs="Arial"/>
          <w:sz w:val="22"/>
        </w:rPr>
        <w:t>espunto da</w:t>
      </w:r>
      <w:r w:rsidRPr="0049657E">
        <w:rPr>
          <w:rFonts w:cs="Arial"/>
          <w:sz w:val="22"/>
        </w:rPr>
        <w:t>ll’art</w:t>
      </w:r>
      <w:r w:rsidR="003056D1" w:rsidRPr="0049657E">
        <w:rPr>
          <w:rFonts w:cs="Arial"/>
          <w:sz w:val="22"/>
        </w:rPr>
        <w:t>icolo</w:t>
      </w:r>
      <w:r w:rsidRPr="0049657E">
        <w:rPr>
          <w:rFonts w:cs="Arial"/>
          <w:sz w:val="22"/>
        </w:rPr>
        <w:t xml:space="preserve"> 8</w:t>
      </w:r>
      <w:r w:rsidR="0049657E" w:rsidRPr="0049657E">
        <w:rPr>
          <w:rFonts w:cs="Arial"/>
          <w:sz w:val="22"/>
        </w:rPr>
        <w:t>, comma 2,</w:t>
      </w:r>
      <w:r w:rsidR="00E35DB2" w:rsidRPr="00E35DB2">
        <w:rPr>
          <w:rFonts w:cs="Arial"/>
          <w:sz w:val="22"/>
        </w:rPr>
        <w:t xml:space="preserve"> </w:t>
      </w:r>
      <w:r w:rsidR="00E35DB2" w:rsidRPr="0049657E">
        <w:rPr>
          <w:rFonts w:cs="Arial"/>
          <w:sz w:val="22"/>
        </w:rPr>
        <w:t xml:space="preserve">lettera </w:t>
      </w:r>
      <w:r w:rsidR="00E35DB2" w:rsidRPr="00E35DB2">
        <w:rPr>
          <w:rFonts w:cs="Arial"/>
          <w:i/>
          <w:sz w:val="22"/>
        </w:rPr>
        <w:t>a)</w:t>
      </w:r>
      <w:r w:rsidR="00711A9B">
        <w:rPr>
          <w:rFonts w:cs="Arial"/>
          <w:i/>
          <w:sz w:val="22"/>
        </w:rPr>
        <w:t>,</w:t>
      </w:r>
      <w:r w:rsidRPr="0049657E">
        <w:rPr>
          <w:rFonts w:cs="Arial"/>
          <w:sz w:val="22"/>
        </w:rPr>
        <w:t xml:space="preserve"> il riferimento alle modalità di adeguamento delle tariffe, al fine di evitare modifiche del metodo tariffario durante la vita della concessione. </w:t>
      </w:r>
    </w:p>
    <w:p w14:paraId="47288DB6" w14:textId="503809FD" w:rsidR="00C11C44" w:rsidRPr="0049657E" w:rsidRDefault="00C11C44" w:rsidP="005A1ED4">
      <w:pPr>
        <w:spacing w:after="120"/>
        <w:ind w:left="708"/>
        <w:rPr>
          <w:rFonts w:cs="Arial"/>
          <w:sz w:val="22"/>
        </w:rPr>
      </w:pPr>
      <w:r w:rsidRPr="0049657E">
        <w:rPr>
          <w:rFonts w:cs="Arial"/>
          <w:sz w:val="22"/>
        </w:rPr>
        <w:t>Lo schema deve</w:t>
      </w:r>
      <w:r w:rsidR="00E35DB2">
        <w:rPr>
          <w:rFonts w:cs="Arial"/>
          <w:sz w:val="22"/>
        </w:rPr>
        <w:t>,</w:t>
      </w:r>
      <w:r w:rsidRPr="0049657E">
        <w:rPr>
          <w:rFonts w:cs="Arial"/>
          <w:sz w:val="22"/>
        </w:rPr>
        <w:t xml:space="preserve"> altresì</w:t>
      </w:r>
      <w:r w:rsidR="00E35DB2">
        <w:rPr>
          <w:rFonts w:cs="Arial"/>
          <w:sz w:val="22"/>
        </w:rPr>
        <w:t>,</w:t>
      </w:r>
      <w:r w:rsidRPr="0049657E">
        <w:rPr>
          <w:rFonts w:cs="Arial"/>
          <w:sz w:val="22"/>
        </w:rPr>
        <w:t xml:space="preserve"> essere integrato con “</w:t>
      </w:r>
      <w:r w:rsidRPr="0049657E">
        <w:rPr>
          <w:rFonts w:cs="Arial"/>
          <w:i/>
          <w:sz w:val="22"/>
        </w:rPr>
        <w:t xml:space="preserve">una definizione di equilibrio economico–finanziario che fa riferimento ad indicatori di redditività e di capacità di rimborso del debito” </w:t>
      </w:r>
      <w:r w:rsidRPr="0049657E">
        <w:rPr>
          <w:rFonts w:cs="Arial"/>
          <w:sz w:val="22"/>
        </w:rPr>
        <w:t>e con l’indicazione della “</w:t>
      </w:r>
      <w:r w:rsidRPr="0049657E">
        <w:rPr>
          <w:rFonts w:cs="Arial"/>
          <w:i/>
          <w:sz w:val="22"/>
        </w:rPr>
        <w:t>procedura di verifica e</w:t>
      </w:r>
      <w:r w:rsidRPr="0049657E">
        <w:rPr>
          <w:rFonts w:cs="Arial"/>
          <w:sz w:val="22"/>
        </w:rPr>
        <w:t>” con “</w:t>
      </w:r>
      <w:r w:rsidRPr="0049657E">
        <w:rPr>
          <w:rFonts w:cs="Arial"/>
          <w:i/>
          <w:sz w:val="22"/>
        </w:rPr>
        <w:t>la cadenza temporale degli adempimenti connessi</w:t>
      </w:r>
      <w:r w:rsidRPr="0049657E">
        <w:rPr>
          <w:rFonts w:cs="Arial"/>
          <w:sz w:val="22"/>
        </w:rPr>
        <w:t xml:space="preserve">”. </w:t>
      </w:r>
    </w:p>
    <w:p w14:paraId="79D15A9B" w14:textId="087E007A" w:rsidR="00C11C44" w:rsidRPr="0049657E" w:rsidRDefault="00C11C44" w:rsidP="005A1ED4">
      <w:pPr>
        <w:numPr>
          <w:ilvl w:val="0"/>
          <w:numId w:val="8"/>
        </w:numPr>
        <w:spacing w:after="120"/>
        <w:rPr>
          <w:rFonts w:cs="Arial"/>
          <w:sz w:val="22"/>
        </w:rPr>
      </w:pPr>
      <w:r w:rsidRPr="0049657E">
        <w:rPr>
          <w:rFonts w:cs="Arial"/>
          <w:sz w:val="22"/>
        </w:rPr>
        <w:t>L’art</w:t>
      </w:r>
      <w:r w:rsidR="003056D1" w:rsidRPr="0049657E">
        <w:rPr>
          <w:rFonts w:cs="Arial"/>
          <w:sz w:val="22"/>
        </w:rPr>
        <w:t>icolo</w:t>
      </w:r>
      <w:r w:rsidRPr="0049657E">
        <w:rPr>
          <w:rFonts w:cs="Arial"/>
          <w:sz w:val="22"/>
        </w:rPr>
        <w:t xml:space="preserve"> 7 deve essere integrato in modo da prevedere che</w:t>
      </w:r>
      <w:r w:rsidR="00680D88" w:rsidRPr="0049657E">
        <w:rPr>
          <w:rFonts w:cs="Arial"/>
          <w:sz w:val="22"/>
        </w:rPr>
        <w:t xml:space="preserve"> </w:t>
      </w:r>
      <w:r w:rsidRPr="0049657E">
        <w:rPr>
          <w:rFonts w:cs="Arial"/>
          <w:sz w:val="22"/>
        </w:rPr>
        <w:t>- qualora le verifiche postulate dall’art</w:t>
      </w:r>
      <w:r w:rsidR="007C08A8" w:rsidRPr="0049657E">
        <w:rPr>
          <w:rFonts w:cs="Arial"/>
          <w:sz w:val="22"/>
        </w:rPr>
        <w:t>icolo</w:t>
      </w:r>
      <w:r w:rsidRPr="0049657E">
        <w:rPr>
          <w:rFonts w:cs="Arial"/>
          <w:sz w:val="22"/>
        </w:rPr>
        <w:t xml:space="preserve"> 7 comma</w:t>
      </w:r>
      <w:r w:rsidR="00680D88" w:rsidRPr="0049657E">
        <w:rPr>
          <w:rFonts w:cs="Arial"/>
          <w:sz w:val="22"/>
        </w:rPr>
        <w:t xml:space="preserve"> </w:t>
      </w:r>
      <w:r w:rsidRPr="0049657E">
        <w:rPr>
          <w:rFonts w:cs="Arial"/>
          <w:sz w:val="22"/>
        </w:rPr>
        <w:t>2, della legge regionale</w:t>
      </w:r>
      <w:r w:rsidR="007C08A8" w:rsidRPr="0049657E">
        <w:rPr>
          <w:rFonts w:cs="Arial"/>
          <w:sz w:val="22"/>
        </w:rPr>
        <w:t xml:space="preserve"> Veneto</w:t>
      </w:r>
      <w:r w:rsidRPr="0049657E">
        <w:rPr>
          <w:rFonts w:cs="Arial"/>
          <w:sz w:val="22"/>
        </w:rPr>
        <w:t xml:space="preserve"> n.15</w:t>
      </w:r>
      <w:r w:rsidR="002A060B" w:rsidRPr="0049657E">
        <w:rPr>
          <w:rFonts w:cs="Arial"/>
          <w:sz w:val="22"/>
        </w:rPr>
        <w:t xml:space="preserve"> del </w:t>
      </w:r>
      <w:r w:rsidRPr="0049657E">
        <w:rPr>
          <w:rFonts w:cs="Arial"/>
          <w:sz w:val="22"/>
        </w:rPr>
        <w:t>2002 evidenzino un</w:t>
      </w:r>
      <w:r w:rsidR="00052828" w:rsidRPr="0049657E">
        <w:rPr>
          <w:rFonts w:cs="Arial"/>
          <w:sz w:val="22"/>
        </w:rPr>
        <w:t>’</w:t>
      </w:r>
      <w:r w:rsidRPr="0049657E">
        <w:rPr>
          <w:rFonts w:cs="Arial"/>
          <w:sz w:val="22"/>
        </w:rPr>
        <w:t>eccedenza di ricavi tariffari rispetto alle stime del PEF</w:t>
      </w:r>
      <w:r w:rsidR="00852A18" w:rsidRPr="0049657E">
        <w:rPr>
          <w:rFonts w:cs="Arial"/>
          <w:sz w:val="22"/>
        </w:rPr>
        <w:t xml:space="preserve"> </w:t>
      </w:r>
      <w:r w:rsidRPr="0049657E">
        <w:rPr>
          <w:rFonts w:cs="Arial"/>
          <w:sz w:val="22"/>
        </w:rPr>
        <w:t xml:space="preserve">- deve essere apportata una riduzione, percentualmente corrispondente, alle tariffe. </w:t>
      </w:r>
    </w:p>
    <w:p w14:paraId="6F8DD4D5" w14:textId="7FA16BB4" w:rsidR="00C11C44" w:rsidRPr="0049657E" w:rsidRDefault="00C11C44" w:rsidP="005A1ED4">
      <w:pPr>
        <w:spacing w:after="120"/>
        <w:ind w:left="708"/>
        <w:rPr>
          <w:rFonts w:cs="Arial"/>
          <w:sz w:val="22"/>
        </w:rPr>
      </w:pPr>
      <w:r w:rsidRPr="0049657E">
        <w:rPr>
          <w:rFonts w:cs="Arial"/>
          <w:sz w:val="22"/>
        </w:rPr>
        <w:t>Deve essere conseguentemente stralciato dal novero degli allegati menzionati all’art</w:t>
      </w:r>
      <w:r w:rsidR="002A060B" w:rsidRPr="0049657E">
        <w:rPr>
          <w:rFonts w:cs="Arial"/>
          <w:sz w:val="22"/>
        </w:rPr>
        <w:t>icolo</w:t>
      </w:r>
      <w:r w:rsidRPr="0049657E">
        <w:rPr>
          <w:rFonts w:cs="Arial"/>
          <w:sz w:val="22"/>
        </w:rPr>
        <w:t xml:space="preserve"> 2 dello schema l’allegato G sulle modalità di determinazione del risultato economico della concessione ai fini dell’applicazione della suddetta disposizione regionale.</w:t>
      </w:r>
    </w:p>
    <w:p w14:paraId="2F2AD834" w14:textId="09C8AA83" w:rsidR="00C11C44" w:rsidRPr="0049657E" w:rsidRDefault="001C7D22" w:rsidP="005A1ED4">
      <w:pPr>
        <w:numPr>
          <w:ilvl w:val="0"/>
          <w:numId w:val="8"/>
        </w:numPr>
        <w:spacing w:after="120"/>
        <w:rPr>
          <w:rFonts w:cs="Arial"/>
          <w:sz w:val="22"/>
        </w:rPr>
      </w:pPr>
      <w:r w:rsidRPr="0049657E">
        <w:rPr>
          <w:rFonts w:cs="Arial"/>
          <w:sz w:val="22"/>
        </w:rPr>
        <w:t>Fermo restando quanto indicato al precedente punto 1, l</w:t>
      </w:r>
      <w:r w:rsidR="00C11C44" w:rsidRPr="0049657E">
        <w:rPr>
          <w:rFonts w:cs="Arial"/>
          <w:sz w:val="22"/>
        </w:rPr>
        <w:t>’art</w:t>
      </w:r>
      <w:r w:rsidR="005314F0" w:rsidRPr="0049657E">
        <w:rPr>
          <w:rFonts w:cs="Arial"/>
          <w:sz w:val="22"/>
        </w:rPr>
        <w:t xml:space="preserve">icolo </w:t>
      </w:r>
      <w:r w:rsidR="00C11C44" w:rsidRPr="0049657E">
        <w:rPr>
          <w:rFonts w:cs="Arial"/>
          <w:sz w:val="22"/>
        </w:rPr>
        <w:t xml:space="preserve">8, concernente le fattispecie che legittimano la revisione del PEF, deve risultare pienamente coerente con le indicazioni di cui </w:t>
      </w:r>
      <w:r w:rsidR="00E35DB2">
        <w:rPr>
          <w:rFonts w:cs="Arial"/>
          <w:sz w:val="22"/>
        </w:rPr>
        <w:t>all’</w:t>
      </w:r>
      <w:r w:rsidR="00C11C44" w:rsidRPr="0049657E">
        <w:rPr>
          <w:rFonts w:cs="Arial"/>
          <w:sz w:val="22"/>
        </w:rPr>
        <w:t>art</w:t>
      </w:r>
      <w:r w:rsidR="00683C34" w:rsidRPr="0049657E">
        <w:rPr>
          <w:rFonts w:cs="Arial"/>
          <w:sz w:val="22"/>
        </w:rPr>
        <w:t>icolo</w:t>
      </w:r>
      <w:r w:rsidR="00C11C44" w:rsidRPr="0049657E">
        <w:rPr>
          <w:rFonts w:cs="Arial"/>
          <w:sz w:val="22"/>
        </w:rPr>
        <w:t xml:space="preserve"> 143</w:t>
      </w:r>
      <w:r w:rsidR="00E35DB2">
        <w:rPr>
          <w:rFonts w:cs="Arial"/>
          <w:sz w:val="22"/>
        </w:rPr>
        <w:t>, comma 8</w:t>
      </w:r>
      <w:r w:rsidR="00C11C44" w:rsidRPr="0049657E">
        <w:rPr>
          <w:rFonts w:cs="Arial"/>
          <w:sz w:val="22"/>
        </w:rPr>
        <w:t xml:space="preserve"> del </w:t>
      </w:r>
      <w:r w:rsidR="00E35DB2">
        <w:rPr>
          <w:rFonts w:cs="Arial"/>
          <w:sz w:val="22"/>
        </w:rPr>
        <w:t>decreto legislativo n.</w:t>
      </w:r>
      <w:r w:rsidR="00711A9B">
        <w:rPr>
          <w:rFonts w:cs="Arial"/>
          <w:sz w:val="22"/>
        </w:rPr>
        <w:t xml:space="preserve"> </w:t>
      </w:r>
      <w:r w:rsidR="00E35DB2">
        <w:rPr>
          <w:rFonts w:cs="Arial"/>
          <w:sz w:val="22"/>
        </w:rPr>
        <w:t>163 del 2006.</w:t>
      </w:r>
      <w:r w:rsidRPr="0049657E">
        <w:rPr>
          <w:rFonts w:cs="Arial"/>
          <w:sz w:val="22"/>
        </w:rPr>
        <w:t xml:space="preserve"> </w:t>
      </w:r>
      <w:r w:rsidR="00E35DB2">
        <w:rPr>
          <w:rFonts w:cs="Arial"/>
          <w:sz w:val="22"/>
        </w:rPr>
        <w:t>Tutti gli allegati – e,</w:t>
      </w:r>
      <w:r w:rsidR="00C11C44" w:rsidRPr="0049657E">
        <w:rPr>
          <w:rFonts w:cs="Arial"/>
          <w:sz w:val="22"/>
        </w:rPr>
        <w:t xml:space="preserve"> in particolare</w:t>
      </w:r>
      <w:r w:rsidR="00E35DB2">
        <w:rPr>
          <w:rFonts w:cs="Arial"/>
          <w:sz w:val="22"/>
        </w:rPr>
        <w:t>,</w:t>
      </w:r>
      <w:r w:rsidR="00C11C44" w:rsidRPr="0049657E">
        <w:rPr>
          <w:rFonts w:cs="Arial"/>
          <w:sz w:val="22"/>
        </w:rPr>
        <w:t xml:space="preserve"> il cronoprogramma allegato sotto la lettera F e che fissa il collaudo al 21</w:t>
      </w:r>
      <w:r w:rsidR="00852A18" w:rsidRPr="0049657E">
        <w:rPr>
          <w:rFonts w:cs="Arial"/>
          <w:sz w:val="22"/>
        </w:rPr>
        <w:t xml:space="preserve"> </w:t>
      </w:r>
      <w:r w:rsidR="00852A18" w:rsidRPr="0049657E">
        <w:rPr>
          <w:rFonts w:cs="Arial"/>
          <w:sz w:val="22"/>
        </w:rPr>
        <w:lastRenderedPageBreak/>
        <w:t xml:space="preserve">dicembre </w:t>
      </w:r>
      <w:r w:rsidR="00C11C44" w:rsidRPr="0049657E">
        <w:rPr>
          <w:rFonts w:cs="Arial"/>
          <w:sz w:val="22"/>
        </w:rPr>
        <w:t xml:space="preserve">2011 – devono essere temporalmente </w:t>
      </w:r>
      <w:r w:rsidR="00852A18" w:rsidRPr="0049657E">
        <w:rPr>
          <w:rFonts w:cs="Arial"/>
          <w:sz w:val="22"/>
        </w:rPr>
        <w:t xml:space="preserve">adeguati </w:t>
      </w:r>
      <w:r w:rsidR="00C11C44" w:rsidRPr="0049657E">
        <w:rPr>
          <w:rFonts w:cs="Arial"/>
          <w:sz w:val="22"/>
        </w:rPr>
        <w:t>alle nuove scadenze del PEF.</w:t>
      </w:r>
    </w:p>
    <w:p w14:paraId="19B5213A" w14:textId="77777777" w:rsidR="009537E4" w:rsidRPr="0049657E" w:rsidRDefault="009537E4" w:rsidP="005A1ED4">
      <w:pPr>
        <w:numPr>
          <w:ilvl w:val="0"/>
          <w:numId w:val="8"/>
        </w:numPr>
        <w:spacing w:after="120"/>
        <w:rPr>
          <w:rFonts w:cs="Arial"/>
          <w:sz w:val="22"/>
        </w:rPr>
      </w:pPr>
      <w:r w:rsidRPr="0049657E">
        <w:rPr>
          <w:rFonts w:cs="Arial"/>
          <w:sz w:val="22"/>
        </w:rPr>
        <w:t>Il Ministero delle infrastrutture e dei trasporti dovrà interessare la Regione ad adeguarsi alle seguenti indicazioni:</w:t>
      </w:r>
    </w:p>
    <w:p w14:paraId="54C87BD8" w14:textId="0455E5BE" w:rsidR="009537E4" w:rsidRPr="0049657E" w:rsidRDefault="00E35DB2" w:rsidP="005A1ED4">
      <w:pPr>
        <w:numPr>
          <w:ilvl w:val="1"/>
          <w:numId w:val="14"/>
        </w:numPr>
        <w:spacing w:after="120"/>
        <w:rPr>
          <w:rFonts w:cs="Arial"/>
          <w:sz w:val="22"/>
        </w:rPr>
      </w:pPr>
      <w:r>
        <w:rPr>
          <w:rFonts w:cs="Arial"/>
          <w:sz w:val="22"/>
        </w:rPr>
        <w:t>articolo 3: il comma 1, lettera</w:t>
      </w:r>
      <w:r w:rsidR="00C11C44" w:rsidRPr="0049657E">
        <w:rPr>
          <w:rFonts w:cs="Arial"/>
          <w:sz w:val="22"/>
        </w:rPr>
        <w:t xml:space="preserve"> </w:t>
      </w:r>
      <w:r w:rsidR="00C11C44" w:rsidRPr="00E35DB2">
        <w:rPr>
          <w:rFonts w:cs="Arial"/>
          <w:i/>
          <w:sz w:val="22"/>
        </w:rPr>
        <w:t>i</w:t>
      </w:r>
      <w:r w:rsidRPr="00E35DB2">
        <w:rPr>
          <w:rFonts w:cs="Arial"/>
          <w:i/>
          <w:sz w:val="22"/>
        </w:rPr>
        <w:t>)</w:t>
      </w:r>
      <w:r w:rsidR="00C11C44" w:rsidRPr="0049657E">
        <w:rPr>
          <w:rFonts w:cs="Arial"/>
          <w:sz w:val="22"/>
        </w:rPr>
        <w:t>, dovrebbe essere aggiornato in modo da prevedere che il concessionario si impegni a prestare o farsi prestare da appaltatori, progettisti ed aggiudicatari delle gare tutte le garanzie e coperture assicurative stabilite dal decreto legislativo n. 163</w:t>
      </w:r>
      <w:r w:rsidR="00D5407B" w:rsidRPr="0049657E">
        <w:rPr>
          <w:rFonts w:cs="Arial"/>
          <w:sz w:val="22"/>
        </w:rPr>
        <w:t xml:space="preserve"> del </w:t>
      </w:r>
      <w:r w:rsidR="00981EF8">
        <w:rPr>
          <w:rFonts w:cs="Arial"/>
          <w:sz w:val="22"/>
        </w:rPr>
        <w:t>2006 e successive modificazioni</w:t>
      </w:r>
      <w:r w:rsidR="00C11C44" w:rsidRPr="0049657E">
        <w:rPr>
          <w:rFonts w:cs="Arial"/>
          <w:sz w:val="22"/>
        </w:rPr>
        <w:t xml:space="preserve"> con le modalità di cui al Titolo IV del </w:t>
      </w:r>
      <w:r>
        <w:rPr>
          <w:rFonts w:cs="Arial"/>
          <w:sz w:val="22"/>
        </w:rPr>
        <w:t>decreto del Presidente della Repubblica</w:t>
      </w:r>
      <w:r w:rsidR="00C11C44" w:rsidRPr="0049657E">
        <w:rPr>
          <w:rFonts w:cs="Arial"/>
          <w:sz w:val="22"/>
        </w:rPr>
        <w:t xml:space="preserve"> 5 ottobre 2010, n. 207, nonché eventuali ulteriori garanzie previste dalla vigente normativa sulle esecuzioni dei lavori e per la gestione di opere affidate in concessione.</w:t>
      </w:r>
    </w:p>
    <w:p w14:paraId="2A43FC24" w14:textId="06D47A29"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 xml:space="preserve">rticolo 5: deve essere completato il comma 7, concernente le modalità di cessione delle quote sociali, in quanto non subordina le variazioni soggettive e oggettive ad alcuna autorizzazione del concedente né prevede alcuna verifica sulla permanenza dei requisiti di solidità patrimoniale, come invece praticato per le società concessionarie di autostrade nazionali (v. ora delibera </w:t>
      </w:r>
      <w:r w:rsidR="00061E25" w:rsidRPr="0049657E">
        <w:rPr>
          <w:rFonts w:cs="Arial"/>
          <w:sz w:val="22"/>
        </w:rPr>
        <w:t xml:space="preserve">CIPE </w:t>
      </w:r>
      <w:r w:rsidR="00C11C44" w:rsidRPr="0049657E">
        <w:rPr>
          <w:rFonts w:cs="Arial"/>
          <w:sz w:val="22"/>
        </w:rPr>
        <w:t>19 luglio 2013, n. 30).</w:t>
      </w:r>
    </w:p>
    <w:p w14:paraId="0D2CAF6C" w14:textId="0F037BD7"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 xml:space="preserve">rticolo 7: </w:t>
      </w:r>
      <w:r w:rsidR="00217A33" w:rsidRPr="0049657E">
        <w:rPr>
          <w:rFonts w:cs="Arial"/>
          <w:sz w:val="22"/>
        </w:rPr>
        <w:t>fermo restando quanto indicato al precedente punto 2, è opportuno che la clauso</w:t>
      </w:r>
      <w:r w:rsidR="00D867AF" w:rsidRPr="0049657E">
        <w:rPr>
          <w:rFonts w:cs="Arial"/>
          <w:sz w:val="22"/>
        </w:rPr>
        <w:t xml:space="preserve">la venga modificata in modo da </w:t>
      </w:r>
      <w:r w:rsidR="00C11C44" w:rsidRPr="0049657E">
        <w:rPr>
          <w:rFonts w:cs="Arial"/>
          <w:sz w:val="22"/>
        </w:rPr>
        <w:t>prevedere tempi più ristretti per l’elaborazione dell’indicatore di qualità del servizio offerto</w:t>
      </w:r>
      <w:r w:rsidR="00217A33" w:rsidRPr="0049657E">
        <w:rPr>
          <w:rFonts w:cs="Arial"/>
          <w:sz w:val="22"/>
        </w:rPr>
        <w:t xml:space="preserve">. </w:t>
      </w:r>
      <w:r w:rsidR="00217A33" w:rsidRPr="0049657E">
        <w:rPr>
          <w:bCs/>
          <w:sz w:val="22"/>
          <w:szCs w:val="22"/>
        </w:rPr>
        <w:t xml:space="preserve">Più specificatamente tale elaborazione dovrebbe essere effettuata prima della sottoscrizione </w:t>
      </w:r>
      <w:r w:rsidR="00FC2697" w:rsidRPr="0049657E">
        <w:rPr>
          <w:bCs/>
          <w:sz w:val="22"/>
          <w:szCs w:val="22"/>
        </w:rPr>
        <w:t>della convenzione,</w:t>
      </w:r>
      <w:r w:rsidR="00217A33" w:rsidRPr="0049657E">
        <w:rPr>
          <w:bCs/>
          <w:sz w:val="22"/>
          <w:szCs w:val="22"/>
        </w:rPr>
        <w:t xml:space="preserve"> in modo da evitare che il meccanismo di adeguamento tariffario</w:t>
      </w:r>
      <w:r w:rsidR="00061E25" w:rsidRPr="0049657E">
        <w:rPr>
          <w:bCs/>
          <w:sz w:val="22"/>
          <w:szCs w:val="22"/>
        </w:rPr>
        <w:t xml:space="preserve"> -</w:t>
      </w:r>
      <w:r w:rsidR="00217A33" w:rsidRPr="0049657E">
        <w:rPr>
          <w:bCs/>
          <w:sz w:val="22"/>
          <w:szCs w:val="22"/>
        </w:rPr>
        <w:t xml:space="preserve"> in caso di mancato accordo delle parti - venga demandato a determinazioni successive di “organismo di certificazione tecnica indipendente”, estraneo al contratto, anche al fine di agevolare la bancabilità dell’opera.</w:t>
      </w:r>
      <w:r w:rsidR="00C11C44" w:rsidRPr="0049657E">
        <w:rPr>
          <w:rFonts w:cs="Arial"/>
          <w:sz w:val="22"/>
        </w:rPr>
        <w:t xml:space="preserve"> </w:t>
      </w:r>
      <w:r w:rsidR="0049657E" w:rsidRPr="0049657E">
        <w:rPr>
          <w:rFonts w:cs="Arial"/>
          <w:sz w:val="22"/>
        </w:rPr>
        <w:t>Risulta</w:t>
      </w:r>
      <w:r w:rsidR="00061E25" w:rsidRPr="0049657E">
        <w:rPr>
          <w:rFonts w:cs="Arial"/>
          <w:sz w:val="22"/>
        </w:rPr>
        <w:t>,</w:t>
      </w:r>
      <w:r w:rsidR="0049657E" w:rsidRPr="0049657E">
        <w:rPr>
          <w:rFonts w:cs="Arial"/>
          <w:sz w:val="22"/>
        </w:rPr>
        <w:t xml:space="preserve"> </w:t>
      </w:r>
      <w:r w:rsidR="00217A33" w:rsidRPr="0049657E">
        <w:rPr>
          <w:rFonts w:cs="Arial"/>
          <w:sz w:val="22"/>
        </w:rPr>
        <w:t>altresì</w:t>
      </w:r>
      <w:r w:rsidR="00061E25" w:rsidRPr="0049657E">
        <w:rPr>
          <w:rFonts w:cs="Arial"/>
          <w:sz w:val="22"/>
        </w:rPr>
        <w:t>,</w:t>
      </w:r>
      <w:r w:rsidR="00217A33" w:rsidRPr="0049657E">
        <w:rPr>
          <w:rFonts w:cs="Arial"/>
          <w:sz w:val="22"/>
        </w:rPr>
        <w:t xml:space="preserve"> </w:t>
      </w:r>
      <w:r w:rsidR="00C11C44" w:rsidRPr="0049657E">
        <w:rPr>
          <w:rFonts w:cs="Arial"/>
          <w:sz w:val="22"/>
        </w:rPr>
        <w:t>opportuno che nella convenzione sia reiterato l’obbligo, riportato nel bando, di redigere ed aggiornare annualmente, nei termini di legge, la “</w:t>
      </w:r>
      <w:r w:rsidR="00C11C44" w:rsidRPr="0049657E">
        <w:rPr>
          <w:rFonts w:cs="Arial"/>
          <w:i/>
          <w:sz w:val="22"/>
        </w:rPr>
        <w:t>carta dei servizi</w:t>
      </w:r>
      <w:r w:rsidR="00C11C44" w:rsidRPr="0049657E">
        <w:rPr>
          <w:rFonts w:cs="Arial"/>
          <w:sz w:val="22"/>
        </w:rPr>
        <w:t xml:space="preserve">” con indicazione degli standard di qualità dei singoli servizi ai sensi della direttiva del Presidente del Consiglio dei </w:t>
      </w:r>
      <w:r>
        <w:rPr>
          <w:rFonts w:cs="Arial"/>
          <w:sz w:val="22"/>
        </w:rPr>
        <w:t>m</w:t>
      </w:r>
      <w:r w:rsidR="00C11C44" w:rsidRPr="0049657E">
        <w:rPr>
          <w:rFonts w:cs="Arial"/>
          <w:sz w:val="22"/>
        </w:rPr>
        <w:t xml:space="preserve">inistri 27 gennaio 1994, del </w:t>
      </w:r>
      <w:r>
        <w:rPr>
          <w:rFonts w:cs="Arial"/>
          <w:sz w:val="22"/>
        </w:rPr>
        <w:t xml:space="preserve">decreto del Presidente del </w:t>
      </w:r>
      <w:r w:rsidRPr="0049657E">
        <w:rPr>
          <w:rFonts w:cs="Arial"/>
          <w:sz w:val="22"/>
        </w:rPr>
        <w:t xml:space="preserve">Consiglio dei </w:t>
      </w:r>
      <w:r>
        <w:rPr>
          <w:rFonts w:cs="Arial"/>
          <w:sz w:val="22"/>
        </w:rPr>
        <w:t>m</w:t>
      </w:r>
      <w:r w:rsidRPr="0049657E">
        <w:rPr>
          <w:rFonts w:cs="Arial"/>
          <w:sz w:val="22"/>
        </w:rPr>
        <w:t>inistri</w:t>
      </w:r>
      <w:r w:rsidR="00C11C44" w:rsidRPr="0049657E">
        <w:rPr>
          <w:rFonts w:cs="Arial"/>
          <w:sz w:val="22"/>
        </w:rPr>
        <w:t xml:space="preserve"> 30 dicembre 1998 e del decreto legislativo 30 luglio 1999, n. 286, prevedendo penali </w:t>
      </w:r>
      <w:r w:rsidR="006D71E4" w:rsidRPr="0049657E">
        <w:rPr>
          <w:rFonts w:cs="Arial"/>
          <w:sz w:val="22"/>
        </w:rPr>
        <w:t xml:space="preserve">- </w:t>
      </w:r>
      <w:r w:rsidR="00C11C44" w:rsidRPr="0049657E">
        <w:rPr>
          <w:rFonts w:cs="Arial"/>
          <w:sz w:val="22"/>
        </w:rPr>
        <w:t xml:space="preserve">anche riferibili al primo quinquennio di entrata in esercizio dell’infrastruttura </w:t>
      </w:r>
      <w:r w:rsidR="006D71E4" w:rsidRPr="0049657E">
        <w:rPr>
          <w:rFonts w:cs="Arial"/>
          <w:sz w:val="22"/>
        </w:rPr>
        <w:t>-</w:t>
      </w:r>
      <w:r w:rsidR="00C11C44" w:rsidRPr="0049657E">
        <w:rPr>
          <w:rFonts w:cs="Arial"/>
          <w:sz w:val="22"/>
        </w:rPr>
        <w:t xml:space="preserve"> nell’ipotesi che gli standard non siano rispettati.</w:t>
      </w:r>
    </w:p>
    <w:p w14:paraId="06527A82" w14:textId="7F972725"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rticolo 8: sotto il profilo formale è necessaria una maggiore coerenza tra il titolo, riferito al piano economico – finanziario, ed il t</w:t>
      </w:r>
      <w:r w:rsidR="0049657E" w:rsidRPr="0049657E">
        <w:rPr>
          <w:rFonts w:cs="Arial"/>
          <w:sz w:val="22"/>
        </w:rPr>
        <w:t>esto della clausola, che invece</w:t>
      </w:r>
      <w:r w:rsidR="00061E25" w:rsidRPr="0049657E">
        <w:rPr>
          <w:rFonts w:cs="Arial"/>
          <w:sz w:val="22"/>
        </w:rPr>
        <w:t>,</w:t>
      </w:r>
      <w:r w:rsidR="0049657E" w:rsidRPr="0049657E">
        <w:rPr>
          <w:rFonts w:cs="Arial"/>
          <w:sz w:val="22"/>
        </w:rPr>
        <w:t xml:space="preserve"> </w:t>
      </w:r>
      <w:r w:rsidR="00C11C44" w:rsidRPr="0049657E">
        <w:rPr>
          <w:rFonts w:cs="Arial"/>
          <w:sz w:val="22"/>
        </w:rPr>
        <w:t>cita prevalentemente la revisione della “</w:t>
      </w:r>
      <w:r w:rsidR="00C11C44" w:rsidRPr="0049657E">
        <w:rPr>
          <w:rFonts w:cs="Arial"/>
          <w:i/>
          <w:sz w:val="22"/>
        </w:rPr>
        <w:t>concessione</w:t>
      </w:r>
      <w:r w:rsidR="00C11C44" w:rsidRPr="0049657E">
        <w:rPr>
          <w:rFonts w:cs="Arial"/>
          <w:sz w:val="22"/>
        </w:rPr>
        <w:t>”, mentre, sotto il profilo sostanziale, la clausola di cui al comma 3</w:t>
      </w:r>
      <w:r w:rsidR="00852A18" w:rsidRPr="0049657E">
        <w:rPr>
          <w:rFonts w:cs="Arial"/>
          <w:sz w:val="22"/>
        </w:rPr>
        <w:t>,</w:t>
      </w:r>
      <w:r w:rsidR="00C11C44" w:rsidRPr="0049657E">
        <w:rPr>
          <w:rFonts w:cs="Arial"/>
          <w:sz w:val="22"/>
        </w:rPr>
        <w:t xml:space="preserve"> che prevede la “</w:t>
      </w:r>
      <w:r w:rsidR="00C11C44" w:rsidRPr="0049657E">
        <w:rPr>
          <w:rFonts w:cs="Arial"/>
          <w:i/>
          <w:sz w:val="22"/>
        </w:rPr>
        <w:t>verifica</w:t>
      </w:r>
      <w:r w:rsidR="00C11C44" w:rsidRPr="0049657E">
        <w:rPr>
          <w:rFonts w:cs="Arial"/>
          <w:sz w:val="22"/>
        </w:rPr>
        <w:t>” del PEF anche “al termine dei lavori”</w:t>
      </w:r>
      <w:r w:rsidR="00852A18" w:rsidRPr="0049657E">
        <w:rPr>
          <w:rFonts w:cs="Arial"/>
          <w:sz w:val="22"/>
        </w:rPr>
        <w:t>,</w:t>
      </w:r>
      <w:r w:rsidR="00C11C44" w:rsidRPr="0049657E">
        <w:rPr>
          <w:rFonts w:cs="Arial"/>
          <w:sz w:val="22"/>
        </w:rPr>
        <w:t xml:space="preserve"> deve essere formulata in modo che non contrasti con il principio dell’assunzione del rischio di costruzione, da parte del concessionario, all’approvazione del progetto definitivo. Inoltre, al medesimo comma 3, dovrebbe essere modificato l’ultimo periodo che conferisce valore vincolante al piano sino alla scadenza della concessione, in modo che non si verifichino dubbi interpretativi rispetto a quanto previsto dal precedente periodo che prevede revisioni anche periodiche del piano stesso.</w:t>
      </w:r>
    </w:p>
    <w:p w14:paraId="25329084" w14:textId="084A0755"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rticolo 9: il comma 1 rife</w:t>
      </w:r>
      <w:r w:rsidR="00852A18" w:rsidRPr="0049657E">
        <w:rPr>
          <w:rFonts w:cs="Arial"/>
          <w:sz w:val="22"/>
        </w:rPr>
        <w:t>risce il sistema di esenzione da</w:t>
      </w:r>
      <w:r w:rsidR="00C11C44" w:rsidRPr="0049657E">
        <w:rPr>
          <w:rFonts w:cs="Arial"/>
          <w:sz w:val="22"/>
        </w:rPr>
        <w:t>l pedaggio in esso contemplato al “</w:t>
      </w:r>
      <w:r w:rsidR="00C11C44" w:rsidRPr="0049657E">
        <w:rPr>
          <w:rFonts w:cs="Arial"/>
          <w:i/>
          <w:sz w:val="22"/>
        </w:rPr>
        <w:t>periodo prestabilito di anni</w:t>
      </w:r>
      <w:r w:rsidR="00C11C44" w:rsidRPr="0049657E">
        <w:rPr>
          <w:rFonts w:cs="Arial"/>
          <w:sz w:val="22"/>
        </w:rPr>
        <w:t>”, rinviando</w:t>
      </w:r>
      <w:r w:rsidR="000D0EE2" w:rsidRPr="0049657E">
        <w:rPr>
          <w:rFonts w:cs="Arial"/>
          <w:sz w:val="22"/>
        </w:rPr>
        <w:t xml:space="preserve"> -</w:t>
      </w:r>
      <w:r w:rsidR="00C11C44" w:rsidRPr="0049657E">
        <w:rPr>
          <w:rFonts w:cs="Arial"/>
          <w:sz w:val="22"/>
        </w:rPr>
        <w:t xml:space="preserve"> per quanto </w:t>
      </w:r>
      <w:r w:rsidR="00C11C44" w:rsidRPr="0049657E">
        <w:rPr>
          <w:rFonts w:cs="Arial"/>
          <w:sz w:val="22"/>
        </w:rPr>
        <w:lastRenderedPageBreak/>
        <w:t>concerne “</w:t>
      </w:r>
      <w:r w:rsidR="00C11C44" w:rsidRPr="0049657E">
        <w:rPr>
          <w:rFonts w:cs="Arial"/>
          <w:i/>
          <w:sz w:val="22"/>
        </w:rPr>
        <w:t>termini e modalità</w:t>
      </w:r>
      <w:r w:rsidR="00C11C44" w:rsidRPr="0049657E">
        <w:rPr>
          <w:rFonts w:cs="Arial"/>
          <w:sz w:val="22"/>
        </w:rPr>
        <w:t>” - all’allegato A, che prevede l’applicazione del sistema stesso per tutta la durata della concessione: è</w:t>
      </w:r>
      <w:r w:rsidR="00711A9B">
        <w:rPr>
          <w:rFonts w:cs="Arial"/>
          <w:sz w:val="22"/>
        </w:rPr>
        <w:t>,</w:t>
      </w:r>
      <w:r w:rsidR="00C11C44" w:rsidRPr="0049657E">
        <w:rPr>
          <w:rFonts w:cs="Arial"/>
          <w:sz w:val="22"/>
        </w:rPr>
        <w:t xml:space="preserve"> quindi</w:t>
      </w:r>
      <w:r w:rsidR="00711A9B">
        <w:rPr>
          <w:rFonts w:cs="Arial"/>
          <w:sz w:val="22"/>
        </w:rPr>
        <w:t>,</w:t>
      </w:r>
      <w:r w:rsidR="00C11C44" w:rsidRPr="0049657E">
        <w:rPr>
          <w:rFonts w:cs="Arial"/>
          <w:sz w:val="22"/>
        </w:rPr>
        <w:t xml:space="preserve"> opportuno riportare analoga specificazione al comma in questione.</w:t>
      </w:r>
    </w:p>
    <w:p w14:paraId="1FDECFC7" w14:textId="2A5A883C"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 xml:space="preserve">rticolo 10: anche il comma 6 di tale articolo deve essere completato quantificando l’aliquota per spese generali in conformità a quanto previsto in sede di stesura del PEF, mentre all’ultimo periodo del comma 7 vanno depennate le parole </w:t>
      </w:r>
      <w:r w:rsidR="00852A18" w:rsidRPr="0049657E">
        <w:rPr>
          <w:rFonts w:cs="Arial"/>
          <w:sz w:val="22"/>
        </w:rPr>
        <w:t>“</w:t>
      </w:r>
      <w:r w:rsidR="00C11C44" w:rsidRPr="0049657E">
        <w:rPr>
          <w:rFonts w:cs="Arial"/>
          <w:sz w:val="22"/>
        </w:rPr>
        <w:t>e/o di gestione</w:t>
      </w:r>
      <w:r w:rsidR="00852A18" w:rsidRPr="0049657E">
        <w:rPr>
          <w:rFonts w:cs="Arial"/>
          <w:sz w:val="22"/>
        </w:rPr>
        <w:t>”</w:t>
      </w:r>
      <w:r w:rsidR="00C11C44" w:rsidRPr="0049657E">
        <w:rPr>
          <w:rFonts w:cs="Arial"/>
          <w:sz w:val="22"/>
        </w:rPr>
        <w:t xml:space="preserve"> sì da riferire l’applicazione della disciplina di cui all’articolo 8 solo all’ipotesi di modifiche al progetto definitivo che comportino incrementi dei costi di costruzione tali da incidere sull’equilibrio economico </w:t>
      </w:r>
      <w:r w:rsidR="00C237B9" w:rsidRPr="0049657E">
        <w:rPr>
          <w:rFonts w:cs="Arial"/>
          <w:sz w:val="22"/>
        </w:rPr>
        <w:t xml:space="preserve">- </w:t>
      </w:r>
      <w:r w:rsidR="00C11C44" w:rsidRPr="0049657E">
        <w:rPr>
          <w:rFonts w:cs="Arial"/>
          <w:sz w:val="22"/>
        </w:rPr>
        <w:t>finanziario.</w:t>
      </w:r>
    </w:p>
    <w:p w14:paraId="41D5C522" w14:textId="4B25B68D"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 xml:space="preserve">rticolo 14: il comma 1 deve essere integrato con l’indicazione delle località o dei valori chilometrici da prendere a riferimento per l’identificazione del tratto stradale di </w:t>
      </w:r>
      <w:r w:rsidR="009537E4" w:rsidRPr="0049657E">
        <w:rPr>
          <w:rFonts w:cs="Arial"/>
          <w:sz w:val="22"/>
        </w:rPr>
        <w:t>cui alla parte finale del comma.</w:t>
      </w:r>
    </w:p>
    <w:p w14:paraId="40F879E6" w14:textId="41BE317D"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 xml:space="preserve">rticolo 17: deve essere </w:t>
      </w:r>
      <w:r w:rsidR="00852A18" w:rsidRPr="0049657E">
        <w:rPr>
          <w:rFonts w:cs="Arial"/>
          <w:sz w:val="22"/>
        </w:rPr>
        <w:t xml:space="preserve">completato </w:t>
      </w:r>
      <w:r w:rsidR="00C11C44" w:rsidRPr="0049657E">
        <w:rPr>
          <w:rFonts w:cs="Arial"/>
          <w:sz w:val="22"/>
        </w:rPr>
        <w:t>il comma 1, indicando, per maggiore chiarezza ed anche al fine di evitare che eventuali ritardi nella realizzazione dell’opera incidano sulla durata della concessione, la data di scadenza della concessione medesima ed inserendo quindi una frase del seguente tenore “</w:t>
      </w:r>
      <w:r w:rsidR="00C11C44" w:rsidRPr="0049657E">
        <w:rPr>
          <w:rFonts w:cs="Arial"/>
          <w:i/>
          <w:sz w:val="22"/>
        </w:rPr>
        <w:t>e scadrà pertanto al massimo, entro la fine del 2055</w:t>
      </w:r>
      <w:r w:rsidR="00C11C44" w:rsidRPr="0049657E">
        <w:rPr>
          <w:rFonts w:cs="Arial"/>
          <w:sz w:val="22"/>
        </w:rPr>
        <w:t>”: il PEF, infatti, colloca il collaudo nell’anno 2015.</w:t>
      </w:r>
    </w:p>
    <w:p w14:paraId="17695083" w14:textId="3246FC37" w:rsidR="009537E4" w:rsidRPr="0049657E" w:rsidRDefault="00981EF8" w:rsidP="005A1ED4">
      <w:pPr>
        <w:numPr>
          <w:ilvl w:val="1"/>
          <w:numId w:val="14"/>
        </w:numPr>
        <w:spacing w:after="120"/>
        <w:rPr>
          <w:rFonts w:cs="Arial"/>
          <w:sz w:val="22"/>
        </w:rPr>
      </w:pPr>
      <w:r>
        <w:rPr>
          <w:rFonts w:cs="Arial"/>
          <w:sz w:val="22"/>
        </w:rPr>
        <w:t>a</w:t>
      </w:r>
      <w:r w:rsidR="00C11C44" w:rsidRPr="0049657E">
        <w:rPr>
          <w:rFonts w:cs="Arial"/>
          <w:sz w:val="22"/>
        </w:rPr>
        <w:t>rticolo 18: al comma 3, che disciplina l’indennizzo da riconoscere al concessionario nel caso venga dichiarata la decadenza della concessione, è opportuno aggiungere, dopo le parole “</w:t>
      </w:r>
      <w:r w:rsidR="00C11C44" w:rsidRPr="0049657E">
        <w:rPr>
          <w:rFonts w:cs="Arial"/>
          <w:i/>
          <w:sz w:val="22"/>
        </w:rPr>
        <w:t>valore delle opere realizzate</w:t>
      </w:r>
      <w:r w:rsidR="00C11C44" w:rsidRPr="0049657E">
        <w:rPr>
          <w:rFonts w:cs="Arial"/>
          <w:sz w:val="22"/>
        </w:rPr>
        <w:t>”, la precisazione “</w:t>
      </w:r>
      <w:r w:rsidR="00C11C44" w:rsidRPr="0049657E">
        <w:rPr>
          <w:rFonts w:cs="Arial"/>
          <w:i/>
          <w:sz w:val="22"/>
        </w:rPr>
        <w:t>ed approvate dal concedente</w:t>
      </w:r>
      <w:r w:rsidR="00C11C44" w:rsidRPr="0049657E">
        <w:rPr>
          <w:rFonts w:cs="Arial"/>
          <w:sz w:val="22"/>
        </w:rPr>
        <w:t>” e stralciare le parole “</w:t>
      </w:r>
      <w:r w:rsidR="00C11C44" w:rsidRPr="0049657E">
        <w:rPr>
          <w:rFonts w:cs="Arial"/>
          <w:i/>
          <w:sz w:val="22"/>
        </w:rPr>
        <w:t>più gli oneri accessori</w:t>
      </w:r>
      <w:r w:rsidR="00C11C44" w:rsidRPr="0049657E">
        <w:rPr>
          <w:rFonts w:cs="Arial"/>
          <w:sz w:val="22"/>
        </w:rPr>
        <w:t>”.</w:t>
      </w:r>
    </w:p>
    <w:p w14:paraId="3E4270E8" w14:textId="2D7212F7" w:rsidR="009537E4" w:rsidRPr="0049657E" w:rsidRDefault="00C11C44" w:rsidP="005A1ED4">
      <w:pPr>
        <w:numPr>
          <w:ilvl w:val="1"/>
          <w:numId w:val="14"/>
        </w:numPr>
        <w:spacing w:after="120"/>
        <w:rPr>
          <w:rFonts w:cs="Arial"/>
          <w:sz w:val="22"/>
        </w:rPr>
      </w:pPr>
      <w:r w:rsidRPr="0049657E">
        <w:rPr>
          <w:rFonts w:cs="Arial"/>
          <w:sz w:val="22"/>
        </w:rPr>
        <w:t xml:space="preserve"> Lo schema di convenzione disciplina le ipotesi della decadenza (art</w:t>
      </w:r>
      <w:r w:rsidR="00E720F8" w:rsidRPr="0049657E">
        <w:rPr>
          <w:rFonts w:cs="Arial"/>
          <w:sz w:val="22"/>
        </w:rPr>
        <w:t>icolo</w:t>
      </w:r>
      <w:r w:rsidRPr="0049657E">
        <w:rPr>
          <w:rFonts w:cs="Arial"/>
          <w:sz w:val="22"/>
        </w:rPr>
        <w:t xml:space="preserve"> 18) e della risoluzione del rapporto per inadempimento del concedente o di revoca della concessione per motivi di pubblico interesse (art</w:t>
      </w:r>
      <w:r w:rsidR="00E720F8" w:rsidRPr="0049657E">
        <w:rPr>
          <w:rFonts w:cs="Arial"/>
          <w:sz w:val="22"/>
        </w:rPr>
        <w:t xml:space="preserve">icolo </w:t>
      </w:r>
      <w:r w:rsidRPr="0049657E">
        <w:rPr>
          <w:rFonts w:cs="Arial"/>
          <w:sz w:val="22"/>
        </w:rPr>
        <w:t xml:space="preserve">19), ma non contempla l’irrogazione di penali nelle ipotesi di ritardo nell’esecuzione dei lavori o di inottemperanza del concessionario agli altri obblighi assunti a proprio carico. </w:t>
      </w:r>
      <w:r w:rsidR="005314F0" w:rsidRPr="0049657E">
        <w:rPr>
          <w:rFonts w:cs="Arial"/>
          <w:sz w:val="22"/>
        </w:rPr>
        <w:t>E</w:t>
      </w:r>
      <w:r w:rsidRPr="0049657E">
        <w:rPr>
          <w:rFonts w:cs="Arial"/>
          <w:sz w:val="22"/>
        </w:rPr>
        <w:t>’</w:t>
      </w:r>
      <w:r w:rsidR="005314F0" w:rsidRPr="0049657E">
        <w:rPr>
          <w:rFonts w:cs="Arial"/>
          <w:sz w:val="22"/>
        </w:rPr>
        <w:t xml:space="preserve"> </w:t>
      </w:r>
      <w:r w:rsidRPr="0049657E">
        <w:rPr>
          <w:rFonts w:cs="Arial"/>
          <w:sz w:val="22"/>
        </w:rPr>
        <w:t>opportuno che lo schema venga per tale profilo adeguatamente integrato.</w:t>
      </w:r>
    </w:p>
    <w:p w14:paraId="15F23A6B" w14:textId="60397C7B" w:rsidR="00C11C44" w:rsidRPr="0049657E" w:rsidRDefault="00C11C44" w:rsidP="005A1ED4">
      <w:pPr>
        <w:numPr>
          <w:ilvl w:val="1"/>
          <w:numId w:val="14"/>
        </w:numPr>
        <w:spacing w:after="120"/>
        <w:rPr>
          <w:rFonts w:cs="Arial"/>
          <w:sz w:val="22"/>
        </w:rPr>
      </w:pPr>
      <w:r w:rsidRPr="0049657E">
        <w:rPr>
          <w:rFonts w:cs="Arial"/>
          <w:sz w:val="22"/>
        </w:rPr>
        <w:t xml:space="preserve"> E</w:t>
      </w:r>
      <w:r w:rsidR="00052828" w:rsidRPr="0049657E">
        <w:rPr>
          <w:rFonts w:cs="Arial"/>
          <w:sz w:val="22"/>
        </w:rPr>
        <w:t>’</w:t>
      </w:r>
      <w:r w:rsidR="00922770" w:rsidRPr="0049657E">
        <w:rPr>
          <w:rFonts w:cs="Arial"/>
          <w:sz w:val="22"/>
        </w:rPr>
        <w:t xml:space="preserve">, </w:t>
      </w:r>
      <w:r w:rsidRPr="0049657E">
        <w:rPr>
          <w:rFonts w:cs="Arial"/>
          <w:sz w:val="22"/>
        </w:rPr>
        <w:t>altresì</w:t>
      </w:r>
      <w:r w:rsidR="00A42E59" w:rsidRPr="0049657E">
        <w:rPr>
          <w:rFonts w:cs="Arial"/>
          <w:sz w:val="22"/>
        </w:rPr>
        <w:t>,</w:t>
      </w:r>
      <w:r w:rsidRPr="0049657E">
        <w:rPr>
          <w:rFonts w:cs="Arial"/>
          <w:sz w:val="22"/>
        </w:rPr>
        <w:t xml:space="preserve"> opportuno che lo schema di convenzione sia integrato:</w:t>
      </w:r>
    </w:p>
    <w:p w14:paraId="08B7CEF3" w14:textId="21EC697A" w:rsidR="00C11C44" w:rsidRPr="0049657E" w:rsidRDefault="00C11C44" w:rsidP="005A1ED4">
      <w:pPr>
        <w:pStyle w:val="Paragrafoelenco"/>
        <w:numPr>
          <w:ilvl w:val="0"/>
          <w:numId w:val="12"/>
        </w:numPr>
        <w:spacing w:after="120"/>
        <w:rPr>
          <w:rFonts w:cs="Arial"/>
          <w:sz w:val="22"/>
        </w:rPr>
      </w:pPr>
      <w:r w:rsidRPr="0049657E">
        <w:rPr>
          <w:rFonts w:cs="Arial"/>
          <w:sz w:val="22"/>
        </w:rPr>
        <w:t xml:space="preserve">includendo, tra gli obblighi del concessionario, quello di fornire flussi costanti di informazioni al </w:t>
      </w:r>
      <w:r w:rsidR="00981EF8">
        <w:rPr>
          <w:rFonts w:cs="Arial"/>
          <w:sz w:val="22"/>
        </w:rPr>
        <w:t>MIT</w:t>
      </w:r>
      <w:r w:rsidRPr="0049657E">
        <w:rPr>
          <w:rFonts w:cs="Arial"/>
          <w:sz w:val="22"/>
        </w:rPr>
        <w:t xml:space="preserve"> e, suo tramite, al Ministero </w:t>
      </w:r>
      <w:r w:rsidR="00981EF8">
        <w:rPr>
          <w:rFonts w:cs="Arial"/>
          <w:sz w:val="22"/>
        </w:rPr>
        <w:t>dell’economia e delle finanze e</w:t>
      </w:r>
      <w:r w:rsidRPr="0049657E">
        <w:rPr>
          <w:rFonts w:cs="Arial"/>
          <w:sz w:val="22"/>
        </w:rPr>
        <w:t xml:space="preserve"> al CIPE con modalità coerenti con il sistema di monitoraggio degli investimenti pubblici (MIP) di cui all’articolo 1 della legge n. 144</w:t>
      </w:r>
      <w:r w:rsidR="00A42E59" w:rsidRPr="0049657E">
        <w:rPr>
          <w:rFonts w:cs="Arial"/>
          <w:sz w:val="22"/>
        </w:rPr>
        <w:t xml:space="preserve"> del </w:t>
      </w:r>
      <w:r w:rsidRPr="0049657E">
        <w:rPr>
          <w:rFonts w:cs="Arial"/>
          <w:sz w:val="22"/>
        </w:rPr>
        <w:t>1999;</w:t>
      </w:r>
    </w:p>
    <w:p w14:paraId="0E8AFCF9" w14:textId="31B6993B" w:rsidR="00C11C44" w:rsidRPr="0049657E" w:rsidRDefault="00C11C44" w:rsidP="005A1ED4">
      <w:pPr>
        <w:pStyle w:val="Paragrafoelenco"/>
        <w:numPr>
          <w:ilvl w:val="0"/>
          <w:numId w:val="12"/>
        </w:numPr>
        <w:spacing w:after="120"/>
        <w:rPr>
          <w:rFonts w:cs="Arial"/>
          <w:sz w:val="22"/>
        </w:rPr>
      </w:pPr>
      <w:r w:rsidRPr="0049657E">
        <w:rPr>
          <w:rFonts w:cs="Arial"/>
          <w:sz w:val="22"/>
        </w:rPr>
        <w:t xml:space="preserve">riportando la clausola del bando di gara, che </w:t>
      </w:r>
      <w:r w:rsidR="00C3111A" w:rsidRPr="0049657E">
        <w:rPr>
          <w:rFonts w:cs="Arial"/>
          <w:sz w:val="22"/>
        </w:rPr>
        <w:t>-</w:t>
      </w:r>
      <w:r w:rsidRPr="0049657E">
        <w:rPr>
          <w:rFonts w:cs="Arial"/>
          <w:sz w:val="22"/>
        </w:rPr>
        <w:t xml:space="preserve"> in conformità a quanto stabilito al punto 3.5 della delibera </w:t>
      </w:r>
      <w:r w:rsidR="00A42E59" w:rsidRPr="0049657E">
        <w:rPr>
          <w:rFonts w:cs="Arial"/>
          <w:sz w:val="22"/>
        </w:rPr>
        <w:t xml:space="preserve">CIPE </w:t>
      </w:r>
      <w:r w:rsidR="00B442B3" w:rsidRPr="0049657E">
        <w:rPr>
          <w:rFonts w:cs="Arial"/>
          <w:sz w:val="22"/>
        </w:rPr>
        <w:t xml:space="preserve">del 30 aprile </w:t>
      </w:r>
      <w:r w:rsidRPr="0049657E">
        <w:rPr>
          <w:rFonts w:cs="Arial"/>
          <w:sz w:val="22"/>
        </w:rPr>
        <w:t>2012</w:t>
      </w:r>
      <w:r w:rsidR="006641AB" w:rsidRPr="0049657E">
        <w:rPr>
          <w:rFonts w:cs="Arial"/>
          <w:sz w:val="22"/>
        </w:rPr>
        <w:t>, n.</w:t>
      </w:r>
      <w:r w:rsidR="00C3111A" w:rsidRPr="0049657E">
        <w:rPr>
          <w:rFonts w:cs="Arial"/>
          <w:sz w:val="22"/>
        </w:rPr>
        <w:t>56 -</w:t>
      </w:r>
      <w:r w:rsidRPr="0049657E">
        <w:rPr>
          <w:rFonts w:cs="Arial"/>
          <w:sz w:val="22"/>
        </w:rPr>
        <w:t xml:space="preserve"> prevede la stipula di un protocollo di legalità tra Prefettura competente UTG, concedente e concessionario che recepisca le linee antimafia approvate con la delibera CIPE</w:t>
      </w:r>
      <w:r w:rsidR="0064707F" w:rsidRPr="0049657E">
        <w:rPr>
          <w:rFonts w:cs="Arial"/>
          <w:sz w:val="22"/>
        </w:rPr>
        <w:t xml:space="preserve"> del </w:t>
      </w:r>
      <w:r w:rsidRPr="0049657E">
        <w:rPr>
          <w:rFonts w:cs="Arial"/>
          <w:sz w:val="22"/>
        </w:rPr>
        <w:t xml:space="preserve"> 3 agosto 2011, n. 58: tra l’altro, come si deduce del pari dal bando, nell’importo complessivo delle spese tecniche e generali di cui al quadro economico del progetto preliminare approvato è inclusa una percentuale dello 0,4 per cento, rispetto all’importo dell’investimento, per oneri antimafia</w:t>
      </w:r>
      <w:r w:rsidR="00852A18" w:rsidRPr="0049657E">
        <w:rPr>
          <w:rFonts w:cs="Arial"/>
          <w:sz w:val="22"/>
        </w:rPr>
        <w:t>,</w:t>
      </w:r>
      <w:r w:rsidRPr="0049657E">
        <w:rPr>
          <w:rFonts w:cs="Arial"/>
          <w:sz w:val="22"/>
        </w:rPr>
        <w:t xml:space="preserve"> percentuale che il punto 3.1 della richiamata delibera ha disposto venga evidenziata nel PEF e di cui, ai sensi dell’art</w:t>
      </w:r>
      <w:r w:rsidR="00FD7654" w:rsidRPr="0049657E">
        <w:rPr>
          <w:rFonts w:cs="Arial"/>
          <w:sz w:val="22"/>
        </w:rPr>
        <w:t>icolo</w:t>
      </w:r>
      <w:r w:rsidRPr="0049657E">
        <w:rPr>
          <w:rFonts w:cs="Arial"/>
          <w:sz w:val="22"/>
        </w:rPr>
        <w:t xml:space="preserve"> 176 del</w:t>
      </w:r>
      <w:r w:rsidR="00981EF8">
        <w:rPr>
          <w:rFonts w:cs="Arial"/>
          <w:sz w:val="22"/>
        </w:rPr>
        <w:t xml:space="preserve"> decreto legislativo n.163 del 2006</w:t>
      </w:r>
      <w:r w:rsidRPr="0049657E">
        <w:rPr>
          <w:rFonts w:cs="Arial"/>
          <w:sz w:val="22"/>
        </w:rPr>
        <w:t>, debbono essere specific</w:t>
      </w:r>
      <w:r w:rsidR="00852A18" w:rsidRPr="0049657E">
        <w:rPr>
          <w:rFonts w:cs="Arial"/>
          <w:sz w:val="22"/>
        </w:rPr>
        <w:t>ate</w:t>
      </w:r>
      <w:r w:rsidRPr="0049657E">
        <w:rPr>
          <w:rFonts w:cs="Arial"/>
          <w:sz w:val="22"/>
        </w:rPr>
        <w:t xml:space="preserve"> le modalità di utilizzo;</w:t>
      </w:r>
    </w:p>
    <w:p w14:paraId="051794E2" w14:textId="7CF0B46D" w:rsidR="00C11C44" w:rsidRPr="0049657E" w:rsidRDefault="00C11C44" w:rsidP="005A1ED4">
      <w:pPr>
        <w:pStyle w:val="Paragrafoelenco"/>
        <w:numPr>
          <w:ilvl w:val="0"/>
          <w:numId w:val="12"/>
        </w:numPr>
        <w:spacing w:after="120"/>
        <w:rPr>
          <w:rFonts w:cs="Arial"/>
          <w:sz w:val="22"/>
        </w:rPr>
      </w:pPr>
      <w:r w:rsidRPr="0049657E">
        <w:rPr>
          <w:rFonts w:cs="Arial"/>
          <w:sz w:val="22"/>
        </w:rPr>
        <w:lastRenderedPageBreak/>
        <w:t>riportando la clausola presente nel bando di gara sull’obbligo di tracciabilità dei flussi fina</w:t>
      </w:r>
      <w:r w:rsidR="00981EF8">
        <w:rPr>
          <w:rFonts w:cs="Arial"/>
          <w:sz w:val="22"/>
        </w:rPr>
        <w:t xml:space="preserve">nziari di cui alla legge n. 136 del </w:t>
      </w:r>
      <w:r w:rsidRPr="0049657E">
        <w:rPr>
          <w:rFonts w:cs="Arial"/>
          <w:sz w:val="22"/>
        </w:rPr>
        <w:t>2010</w:t>
      </w:r>
      <w:r w:rsidR="00981EF8">
        <w:rPr>
          <w:rFonts w:cs="Arial"/>
          <w:sz w:val="22"/>
        </w:rPr>
        <w:t>, e successive modificazioni</w:t>
      </w:r>
      <w:r w:rsidRPr="0049657E">
        <w:rPr>
          <w:rFonts w:cs="Arial"/>
          <w:sz w:val="22"/>
        </w:rPr>
        <w:t>, clausola che deve essere integrata con l’assunzione, da parte del concessionario, dell’obbligo di conformarsi alle direttive che il CIPE adott</w:t>
      </w:r>
      <w:r w:rsidR="00852A18" w:rsidRPr="0049657E">
        <w:rPr>
          <w:rFonts w:cs="Arial"/>
          <w:sz w:val="22"/>
        </w:rPr>
        <w:t>erà</w:t>
      </w:r>
      <w:r w:rsidRPr="0049657E">
        <w:rPr>
          <w:rFonts w:cs="Arial"/>
          <w:sz w:val="22"/>
        </w:rPr>
        <w:t xml:space="preserve"> in tema di monitoraggio ai sensi del richiamato art</w:t>
      </w:r>
      <w:r w:rsidR="002D3F9F" w:rsidRPr="0049657E">
        <w:rPr>
          <w:rFonts w:cs="Arial"/>
          <w:sz w:val="22"/>
        </w:rPr>
        <w:t xml:space="preserve">icolo </w:t>
      </w:r>
      <w:r w:rsidRPr="0049657E">
        <w:rPr>
          <w:rFonts w:cs="Arial"/>
          <w:sz w:val="22"/>
        </w:rPr>
        <w:t xml:space="preserve">176 del </w:t>
      </w:r>
      <w:r w:rsidR="00EC46B3">
        <w:rPr>
          <w:rFonts w:cs="Arial"/>
          <w:sz w:val="22"/>
        </w:rPr>
        <w:t>decreto legislativo n.163 del 2006</w:t>
      </w:r>
      <w:r w:rsidRPr="0049657E">
        <w:rPr>
          <w:rFonts w:cs="Arial"/>
          <w:sz w:val="22"/>
        </w:rPr>
        <w:t>.</w:t>
      </w:r>
    </w:p>
    <w:p w14:paraId="74B74CF5" w14:textId="77777777" w:rsidR="00C11C44" w:rsidRPr="00FC2697" w:rsidRDefault="00C11C44" w:rsidP="005A1ED4">
      <w:pPr>
        <w:spacing w:after="120"/>
        <w:rPr>
          <w:rFonts w:cs="Arial"/>
        </w:rPr>
      </w:pPr>
    </w:p>
    <w:sectPr w:rsidR="00C11C44" w:rsidRPr="00FC2697" w:rsidSect="00A979F0">
      <w:footerReference w:type="default" r:id="rId8"/>
      <w:pgSz w:w="11906" w:h="16838"/>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B386A" w14:textId="77777777" w:rsidR="00413343" w:rsidRDefault="00413343" w:rsidP="00616204">
      <w:r>
        <w:separator/>
      </w:r>
    </w:p>
  </w:endnote>
  <w:endnote w:type="continuationSeparator" w:id="0">
    <w:p w14:paraId="58E0DCF2" w14:textId="77777777" w:rsidR="00413343" w:rsidRDefault="00413343" w:rsidP="0061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1D032" w14:textId="4CDB76DD" w:rsidR="00E80379" w:rsidRPr="00616204" w:rsidRDefault="00E80379">
    <w:pPr>
      <w:pStyle w:val="Pidipagina"/>
      <w:jc w:val="center"/>
      <w:rPr>
        <w:sz w:val="22"/>
        <w:szCs w:val="22"/>
      </w:rPr>
    </w:pPr>
    <w:r w:rsidRPr="00616204">
      <w:rPr>
        <w:sz w:val="22"/>
        <w:szCs w:val="22"/>
      </w:rPr>
      <w:fldChar w:fldCharType="begin"/>
    </w:r>
    <w:r w:rsidRPr="00616204">
      <w:rPr>
        <w:sz w:val="22"/>
        <w:szCs w:val="22"/>
      </w:rPr>
      <w:instrText>PAGE   \* MERGEFORMAT</w:instrText>
    </w:r>
    <w:r w:rsidRPr="00616204">
      <w:rPr>
        <w:sz w:val="22"/>
        <w:szCs w:val="22"/>
      </w:rPr>
      <w:fldChar w:fldCharType="separate"/>
    </w:r>
    <w:r w:rsidR="00BE6E63">
      <w:rPr>
        <w:noProof/>
        <w:sz w:val="22"/>
        <w:szCs w:val="22"/>
      </w:rPr>
      <w:t>1</w:t>
    </w:r>
    <w:r w:rsidRPr="00616204">
      <w:rPr>
        <w:sz w:val="22"/>
        <w:szCs w:val="22"/>
      </w:rPr>
      <w:fldChar w:fldCharType="end"/>
    </w:r>
  </w:p>
  <w:p w14:paraId="5A3CCAA1" w14:textId="77777777" w:rsidR="00E80379" w:rsidRDefault="00E8037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A7F68" w14:textId="77777777" w:rsidR="00413343" w:rsidRDefault="00413343" w:rsidP="00616204">
      <w:r>
        <w:separator/>
      </w:r>
    </w:p>
  </w:footnote>
  <w:footnote w:type="continuationSeparator" w:id="0">
    <w:p w14:paraId="02B0EA86" w14:textId="77777777" w:rsidR="00413343" w:rsidRDefault="00413343" w:rsidP="00616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F41"/>
    <w:multiLevelType w:val="hybridMultilevel"/>
    <w:tmpl w:val="0BFAECA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nsid w:val="0B461B0C"/>
    <w:multiLevelType w:val="hybridMultilevel"/>
    <w:tmpl w:val="805A7FB2"/>
    <w:lvl w:ilvl="0" w:tplc="3A5E77C4">
      <w:start w:val="1"/>
      <w:numFmt w:val="lowerLetter"/>
      <w:lvlText w:val="%1)"/>
      <w:lvlJc w:val="left"/>
      <w:pPr>
        <w:tabs>
          <w:tab w:val="num" w:pos="1080"/>
        </w:tabs>
        <w:ind w:left="1080" w:hanging="360"/>
      </w:pPr>
      <w:rPr>
        <w:i/>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3433247"/>
    <w:multiLevelType w:val="multilevel"/>
    <w:tmpl w:val="0014535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
    <w:nsid w:val="239844B7"/>
    <w:multiLevelType w:val="hybridMultilevel"/>
    <w:tmpl w:val="0DACFD3E"/>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nsid w:val="2EDC5D72"/>
    <w:multiLevelType w:val="hybridMultilevel"/>
    <w:tmpl w:val="2DC2DE96"/>
    <w:lvl w:ilvl="0" w:tplc="77CA17CE">
      <w:start w:val="1"/>
      <w:numFmt w:val="bullet"/>
      <w:lvlText w:val=""/>
      <w:lvlJc w:val="left"/>
      <w:pPr>
        <w:tabs>
          <w:tab w:val="num" w:pos="2160"/>
        </w:tabs>
        <w:ind w:left="2160" w:hanging="360"/>
      </w:pPr>
      <w:rPr>
        <w:rFonts w:ascii="Symbol" w:hAnsi="Symbol" w:hint="default"/>
        <w:color w:val="auto"/>
        <w:sz w:val="24"/>
        <w:effect w:val="none"/>
      </w:rPr>
    </w:lvl>
    <w:lvl w:ilvl="1" w:tplc="04100003">
      <w:start w:val="1"/>
      <w:numFmt w:val="bullet"/>
      <w:lvlText w:val="o"/>
      <w:lvlJc w:val="left"/>
      <w:pPr>
        <w:tabs>
          <w:tab w:val="num" w:pos="1582"/>
        </w:tabs>
        <w:ind w:left="1582" w:hanging="360"/>
      </w:pPr>
      <w:rPr>
        <w:rFonts w:ascii="Courier New" w:hAnsi="Courier New" w:hint="default"/>
      </w:rPr>
    </w:lvl>
    <w:lvl w:ilvl="2" w:tplc="04100005">
      <w:start w:val="1"/>
      <w:numFmt w:val="bullet"/>
      <w:lvlText w:val=""/>
      <w:lvlJc w:val="left"/>
      <w:pPr>
        <w:tabs>
          <w:tab w:val="num" w:pos="2302"/>
        </w:tabs>
        <w:ind w:left="2302" w:hanging="360"/>
      </w:pPr>
      <w:rPr>
        <w:rFonts w:ascii="Wingdings" w:hAnsi="Wingdings" w:hint="default"/>
        <w:color w:val="auto"/>
        <w:effect w:val="none"/>
      </w:rPr>
    </w:lvl>
    <w:lvl w:ilvl="3" w:tplc="04100001">
      <w:start w:val="1"/>
      <w:numFmt w:val="bullet"/>
      <w:lvlText w:val=""/>
      <w:lvlJc w:val="left"/>
      <w:pPr>
        <w:tabs>
          <w:tab w:val="num" w:pos="3022"/>
        </w:tabs>
        <w:ind w:left="3022" w:hanging="360"/>
      </w:pPr>
      <w:rPr>
        <w:rFonts w:ascii="Symbol" w:hAnsi="Symbol" w:hint="default"/>
        <w:color w:val="auto"/>
        <w:effect w:val="none"/>
      </w:rPr>
    </w:lvl>
    <w:lvl w:ilvl="4" w:tplc="04100003">
      <w:start w:val="1"/>
      <w:numFmt w:val="bullet"/>
      <w:lvlText w:val="o"/>
      <w:lvlJc w:val="left"/>
      <w:pPr>
        <w:tabs>
          <w:tab w:val="num" w:pos="3742"/>
        </w:tabs>
        <w:ind w:left="3742" w:hanging="360"/>
      </w:pPr>
      <w:rPr>
        <w:rFonts w:ascii="Courier New" w:hAnsi="Courier New" w:hint="default"/>
      </w:rPr>
    </w:lvl>
    <w:lvl w:ilvl="5" w:tplc="04100005">
      <w:start w:val="1"/>
      <w:numFmt w:val="bullet"/>
      <w:lvlText w:val=""/>
      <w:lvlJc w:val="left"/>
      <w:pPr>
        <w:tabs>
          <w:tab w:val="num" w:pos="4462"/>
        </w:tabs>
        <w:ind w:left="4462" w:hanging="360"/>
      </w:pPr>
      <w:rPr>
        <w:rFonts w:ascii="Wingdings" w:hAnsi="Wingdings" w:hint="default"/>
      </w:rPr>
    </w:lvl>
    <w:lvl w:ilvl="6" w:tplc="04100001">
      <w:start w:val="1"/>
      <w:numFmt w:val="bullet"/>
      <w:lvlText w:val=""/>
      <w:lvlJc w:val="left"/>
      <w:pPr>
        <w:tabs>
          <w:tab w:val="num" w:pos="5182"/>
        </w:tabs>
        <w:ind w:left="5182" w:hanging="360"/>
      </w:pPr>
      <w:rPr>
        <w:rFonts w:ascii="Symbol" w:hAnsi="Symbol" w:hint="default"/>
      </w:rPr>
    </w:lvl>
    <w:lvl w:ilvl="7" w:tplc="04100003">
      <w:start w:val="1"/>
      <w:numFmt w:val="bullet"/>
      <w:lvlText w:val="o"/>
      <w:lvlJc w:val="left"/>
      <w:pPr>
        <w:tabs>
          <w:tab w:val="num" w:pos="5902"/>
        </w:tabs>
        <w:ind w:left="5902" w:hanging="360"/>
      </w:pPr>
      <w:rPr>
        <w:rFonts w:ascii="Courier New" w:hAnsi="Courier New" w:hint="default"/>
      </w:rPr>
    </w:lvl>
    <w:lvl w:ilvl="8" w:tplc="04100005">
      <w:start w:val="1"/>
      <w:numFmt w:val="bullet"/>
      <w:lvlText w:val=""/>
      <w:lvlJc w:val="left"/>
      <w:pPr>
        <w:tabs>
          <w:tab w:val="num" w:pos="6622"/>
        </w:tabs>
        <w:ind w:left="6622" w:hanging="360"/>
      </w:pPr>
      <w:rPr>
        <w:rFonts w:ascii="Wingdings" w:hAnsi="Wingdings" w:hint="default"/>
      </w:rPr>
    </w:lvl>
  </w:abstractNum>
  <w:abstractNum w:abstractNumId="5">
    <w:nsid w:val="383339C4"/>
    <w:multiLevelType w:val="hybridMultilevel"/>
    <w:tmpl w:val="AD2C1E8C"/>
    <w:lvl w:ilvl="0" w:tplc="77CA17CE">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9A6584D"/>
    <w:multiLevelType w:val="hybridMultilevel"/>
    <w:tmpl w:val="B5005C46"/>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54795F7F"/>
    <w:multiLevelType w:val="hybridMultilevel"/>
    <w:tmpl w:val="53D8E8DE"/>
    <w:lvl w:ilvl="0" w:tplc="D78E2286">
      <w:numFmt w:val="bullet"/>
      <w:lvlText w:val="-"/>
      <w:lvlJc w:val="left"/>
      <w:pPr>
        <w:ind w:left="360" w:hanging="360"/>
      </w:pPr>
      <w:rPr>
        <w:rFonts w:ascii="Arial" w:eastAsia="Times New Roman" w:hAnsi="Aria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nsid w:val="54B160B4"/>
    <w:multiLevelType w:val="hybridMultilevel"/>
    <w:tmpl w:val="3C8298FE"/>
    <w:lvl w:ilvl="0" w:tplc="0410000F">
      <w:start w:val="2"/>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nsid w:val="580B68B0"/>
    <w:multiLevelType w:val="hybridMultilevel"/>
    <w:tmpl w:val="0344ABCA"/>
    <w:lvl w:ilvl="0" w:tplc="E320F066">
      <w:start w:val="1"/>
      <w:numFmt w:val="bullet"/>
      <w:lvlText w:val="-"/>
      <w:lvlJc w:val="left"/>
      <w:pPr>
        <w:tabs>
          <w:tab w:val="num" w:pos="360"/>
        </w:tabs>
        <w:ind w:left="360" w:hanging="360"/>
      </w:pPr>
      <w:rPr>
        <w:rFonts w:ascii="Times New Roman" w:hAnsi="Times New Roman" w:hint="default"/>
      </w:rPr>
    </w:lvl>
    <w:lvl w:ilvl="1" w:tplc="F4E6A510">
      <w:start w:val="1"/>
      <w:numFmt w:val="bullet"/>
      <w:lvlText w:val=""/>
      <w:lvlJc w:val="left"/>
      <w:pPr>
        <w:tabs>
          <w:tab w:val="num" w:pos="1440"/>
        </w:tabs>
        <w:ind w:left="1440" w:hanging="360"/>
      </w:pPr>
      <w:rPr>
        <w:rFonts w:ascii="Symbol" w:hAnsi="Symbol" w:hint="default"/>
        <w:color w:val="auto"/>
        <w:sz w:val="14"/>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6B35228C"/>
    <w:multiLevelType w:val="multilevel"/>
    <w:tmpl w:val="F588EDE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6FD04B71"/>
    <w:multiLevelType w:val="hybridMultilevel"/>
    <w:tmpl w:val="13D8970E"/>
    <w:lvl w:ilvl="0" w:tplc="8DDCA5DC">
      <w:start w:val="1"/>
      <w:numFmt w:val="decimal"/>
      <w:lvlText w:val="%1."/>
      <w:lvlJc w:val="left"/>
      <w:pPr>
        <w:ind w:left="720" w:hanging="360"/>
      </w:pPr>
      <w:rPr>
        <w:rFonts w:cs="Times New Roman"/>
        <w:sz w:val="22"/>
        <w:szCs w:val="22"/>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nsid w:val="76F2068A"/>
    <w:multiLevelType w:val="hybridMultilevel"/>
    <w:tmpl w:val="15C2FB42"/>
    <w:lvl w:ilvl="0" w:tplc="77CA17CE">
      <w:start w:val="1"/>
      <w:numFmt w:val="bullet"/>
      <w:lvlText w:val=""/>
      <w:lvlJc w:val="left"/>
      <w:pPr>
        <w:tabs>
          <w:tab w:val="num" w:pos="1500"/>
        </w:tabs>
        <w:ind w:left="1500" w:hanging="360"/>
      </w:pPr>
      <w:rPr>
        <w:rFonts w:ascii="Symbol" w:hAnsi="Symbol"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13">
    <w:nsid w:val="792267E5"/>
    <w:multiLevelType w:val="hybridMultilevel"/>
    <w:tmpl w:val="0568A302"/>
    <w:lvl w:ilvl="0" w:tplc="E320F066">
      <w:start w:val="1"/>
      <w:numFmt w:val="bullet"/>
      <w:lvlText w:val="-"/>
      <w:lvlJc w:val="left"/>
      <w:pPr>
        <w:ind w:left="1260" w:hanging="360"/>
      </w:pPr>
      <w:rPr>
        <w:rFonts w:ascii="Times New Roman" w:hAnsi="Times New Roman"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num w:numId="1">
    <w:abstractNumId w:val="9"/>
  </w:num>
  <w:num w:numId="2">
    <w:abstractNumId w:val="12"/>
  </w:num>
  <w:num w:numId="3">
    <w:abstractNumId w:val="5"/>
  </w:num>
  <w:num w:numId="4">
    <w:abstractNumId w:val="0"/>
  </w:num>
  <w:num w:numId="5">
    <w:abstractNumId w:val="4"/>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0"/>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C2"/>
    <w:rsid w:val="00045CCF"/>
    <w:rsid w:val="00052828"/>
    <w:rsid w:val="00061E25"/>
    <w:rsid w:val="000B0AE0"/>
    <w:rsid w:val="000D0EE2"/>
    <w:rsid w:val="00103D7D"/>
    <w:rsid w:val="0011515D"/>
    <w:rsid w:val="001535EA"/>
    <w:rsid w:val="0016373F"/>
    <w:rsid w:val="00180E62"/>
    <w:rsid w:val="001C7D22"/>
    <w:rsid w:val="00204399"/>
    <w:rsid w:val="00217A33"/>
    <w:rsid w:val="002564BC"/>
    <w:rsid w:val="002625B3"/>
    <w:rsid w:val="00290348"/>
    <w:rsid w:val="002A060B"/>
    <w:rsid w:val="002D3F9F"/>
    <w:rsid w:val="002F51F0"/>
    <w:rsid w:val="003056D1"/>
    <w:rsid w:val="003230D5"/>
    <w:rsid w:val="00402393"/>
    <w:rsid w:val="00404FA4"/>
    <w:rsid w:val="00413343"/>
    <w:rsid w:val="00490EA2"/>
    <w:rsid w:val="0049657E"/>
    <w:rsid w:val="004A4DB7"/>
    <w:rsid w:val="004B1D8E"/>
    <w:rsid w:val="005071DD"/>
    <w:rsid w:val="0051360B"/>
    <w:rsid w:val="005314F0"/>
    <w:rsid w:val="005A1ED4"/>
    <w:rsid w:val="00616204"/>
    <w:rsid w:val="00635C7D"/>
    <w:rsid w:val="0064707F"/>
    <w:rsid w:val="006641AB"/>
    <w:rsid w:val="00670FEE"/>
    <w:rsid w:val="00680D88"/>
    <w:rsid w:val="00683C34"/>
    <w:rsid w:val="006D71E4"/>
    <w:rsid w:val="00711A9B"/>
    <w:rsid w:val="007302A6"/>
    <w:rsid w:val="007350B8"/>
    <w:rsid w:val="007C08A8"/>
    <w:rsid w:val="00802C1A"/>
    <w:rsid w:val="008047EE"/>
    <w:rsid w:val="0083510F"/>
    <w:rsid w:val="00852A18"/>
    <w:rsid w:val="008617C2"/>
    <w:rsid w:val="0087538E"/>
    <w:rsid w:val="008A0A9E"/>
    <w:rsid w:val="008C3BE0"/>
    <w:rsid w:val="008D321A"/>
    <w:rsid w:val="00922770"/>
    <w:rsid w:val="009537E4"/>
    <w:rsid w:val="00962CF1"/>
    <w:rsid w:val="00981EF8"/>
    <w:rsid w:val="009B73D9"/>
    <w:rsid w:val="009C7198"/>
    <w:rsid w:val="009D73A8"/>
    <w:rsid w:val="009E09FF"/>
    <w:rsid w:val="00A21860"/>
    <w:rsid w:val="00A26D2F"/>
    <w:rsid w:val="00A36D53"/>
    <w:rsid w:val="00A40B3D"/>
    <w:rsid w:val="00A42E59"/>
    <w:rsid w:val="00A7699B"/>
    <w:rsid w:val="00A979F0"/>
    <w:rsid w:val="00B145F2"/>
    <w:rsid w:val="00B30C55"/>
    <w:rsid w:val="00B442B3"/>
    <w:rsid w:val="00B5630D"/>
    <w:rsid w:val="00B743CE"/>
    <w:rsid w:val="00BA46A4"/>
    <w:rsid w:val="00BE6E63"/>
    <w:rsid w:val="00C11C44"/>
    <w:rsid w:val="00C237B9"/>
    <w:rsid w:val="00C3111A"/>
    <w:rsid w:val="00C31D6B"/>
    <w:rsid w:val="00C351A1"/>
    <w:rsid w:val="00C369E3"/>
    <w:rsid w:val="00CA065A"/>
    <w:rsid w:val="00D41602"/>
    <w:rsid w:val="00D51BB6"/>
    <w:rsid w:val="00D5407B"/>
    <w:rsid w:val="00D867AF"/>
    <w:rsid w:val="00DC0CA7"/>
    <w:rsid w:val="00DE65B1"/>
    <w:rsid w:val="00E0599E"/>
    <w:rsid w:val="00E35DB2"/>
    <w:rsid w:val="00E720F8"/>
    <w:rsid w:val="00E80379"/>
    <w:rsid w:val="00E84E34"/>
    <w:rsid w:val="00EC36A0"/>
    <w:rsid w:val="00EC46B3"/>
    <w:rsid w:val="00ED492A"/>
    <w:rsid w:val="00F37FA1"/>
    <w:rsid w:val="00FA2B3A"/>
    <w:rsid w:val="00FA3651"/>
    <w:rsid w:val="00FC2697"/>
    <w:rsid w:val="00FC6BC4"/>
    <w:rsid w:val="00FD7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C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17C2"/>
    <w:pPr>
      <w:jc w:val="both"/>
    </w:pPr>
    <w:rPr>
      <w:rFonts w:ascii="Arial" w:hAnsi="Arial" w:cs="Times New Roman"/>
      <w:sz w:val="24"/>
      <w:szCs w:val="24"/>
    </w:rPr>
  </w:style>
  <w:style w:type="paragraph" w:styleId="Titolo1">
    <w:name w:val="heading 1"/>
    <w:basedOn w:val="Normale"/>
    <w:next w:val="Normale"/>
    <w:link w:val="Titolo1Carattere"/>
    <w:uiPriority w:val="99"/>
    <w:qFormat/>
    <w:rsid w:val="008617C2"/>
    <w:pPr>
      <w:keepNext/>
      <w:jc w:val="center"/>
      <w:outlineLvl w:val="0"/>
    </w:pPr>
    <w:rPr>
      <w:sz w:val="28"/>
    </w:rPr>
  </w:style>
  <w:style w:type="paragraph" w:styleId="Titolo2">
    <w:name w:val="heading 2"/>
    <w:basedOn w:val="Normale"/>
    <w:next w:val="Normale"/>
    <w:link w:val="Titolo2Carattere"/>
    <w:uiPriority w:val="99"/>
    <w:qFormat/>
    <w:rsid w:val="008617C2"/>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8617C2"/>
    <w:rPr>
      <w:rFonts w:ascii="Arial" w:hAnsi="Arial" w:cs="Times New Roman"/>
      <w:sz w:val="24"/>
      <w:szCs w:val="24"/>
      <w:lang w:val="x-none" w:eastAsia="it-IT"/>
    </w:rPr>
  </w:style>
  <w:style w:type="character" w:customStyle="1" w:styleId="Titolo2Carattere">
    <w:name w:val="Titolo 2 Carattere"/>
    <w:link w:val="Titolo2"/>
    <w:uiPriority w:val="99"/>
    <w:semiHidden/>
    <w:locked/>
    <w:rsid w:val="008617C2"/>
    <w:rPr>
      <w:rFonts w:ascii="Arial" w:hAnsi="Arial" w:cs="Times New Roman"/>
      <w:b/>
      <w:bCs/>
      <w:sz w:val="24"/>
      <w:szCs w:val="24"/>
      <w:lang w:val="x-none" w:eastAsia="it-IT"/>
    </w:rPr>
  </w:style>
  <w:style w:type="paragraph" w:styleId="Intestazione">
    <w:name w:val="header"/>
    <w:basedOn w:val="Normale"/>
    <w:link w:val="IntestazioneCarattere"/>
    <w:uiPriority w:val="99"/>
    <w:semiHidden/>
    <w:rsid w:val="008617C2"/>
    <w:pPr>
      <w:tabs>
        <w:tab w:val="center" w:pos="4819"/>
        <w:tab w:val="right" w:pos="9638"/>
      </w:tabs>
    </w:pPr>
  </w:style>
  <w:style w:type="character" w:customStyle="1" w:styleId="IntestazioneCarattere">
    <w:name w:val="Intestazione Carattere"/>
    <w:link w:val="Intestazione"/>
    <w:uiPriority w:val="99"/>
    <w:semiHidden/>
    <w:locked/>
    <w:rsid w:val="008617C2"/>
    <w:rPr>
      <w:rFonts w:ascii="Arial" w:hAnsi="Arial" w:cs="Times New Roman"/>
      <w:sz w:val="24"/>
      <w:szCs w:val="24"/>
      <w:lang w:val="x-none" w:eastAsia="it-IT"/>
    </w:rPr>
  </w:style>
  <w:style w:type="paragraph" w:styleId="Corpotesto">
    <w:name w:val="Body Text"/>
    <w:basedOn w:val="Normale"/>
    <w:link w:val="CorpotestoCarattere"/>
    <w:uiPriority w:val="99"/>
    <w:semiHidden/>
    <w:rsid w:val="008617C2"/>
    <w:pPr>
      <w:spacing w:after="120"/>
    </w:pPr>
  </w:style>
  <w:style w:type="character" w:customStyle="1" w:styleId="CorpotestoCarattere">
    <w:name w:val="Corpo testo Carattere"/>
    <w:link w:val="Corpotesto"/>
    <w:uiPriority w:val="99"/>
    <w:semiHidden/>
    <w:locked/>
    <w:rsid w:val="008617C2"/>
    <w:rPr>
      <w:rFonts w:ascii="Arial" w:hAnsi="Arial" w:cs="Times New Roman"/>
      <w:sz w:val="24"/>
      <w:szCs w:val="24"/>
      <w:lang w:val="x-none" w:eastAsia="it-IT"/>
    </w:rPr>
  </w:style>
  <w:style w:type="paragraph" w:styleId="Data">
    <w:name w:val="Date"/>
    <w:basedOn w:val="Normale"/>
    <w:next w:val="Normale"/>
    <w:link w:val="DataCarattere"/>
    <w:uiPriority w:val="99"/>
    <w:semiHidden/>
    <w:rsid w:val="008617C2"/>
    <w:pPr>
      <w:spacing w:before="120" w:after="360"/>
      <w:ind w:left="567"/>
      <w:jc w:val="left"/>
    </w:pPr>
    <w:rPr>
      <w:sz w:val="22"/>
      <w:szCs w:val="20"/>
    </w:rPr>
  </w:style>
  <w:style w:type="character" w:customStyle="1" w:styleId="DataCarattere">
    <w:name w:val="Data Carattere"/>
    <w:link w:val="Data"/>
    <w:uiPriority w:val="99"/>
    <w:semiHidden/>
    <w:locked/>
    <w:rsid w:val="008617C2"/>
    <w:rPr>
      <w:rFonts w:ascii="Arial" w:hAnsi="Arial" w:cs="Times New Roman"/>
      <w:sz w:val="20"/>
      <w:szCs w:val="20"/>
      <w:lang w:val="x-none" w:eastAsia="it-IT"/>
    </w:rPr>
  </w:style>
  <w:style w:type="paragraph" w:styleId="Corpodeltesto2">
    <w:name w:val="Body Text 2"/>
    <w:basedOn w:val="Normale"/>
    <w:link w:val="Corpodeltesto2Carattere"/>
    <w:uiPriority w:val="99"/>
    <w:semiHidden/>
    <w:rsid w:val="008617C2"/>
    <w:rPr>
      <w:sz w:val="22"/>
    </w:rPr>
  </w:style>
  <w:style w:type="character" w:customStyle="1" w:styleId="Corpodeltesto2Carattere">
    <w:name w:val="Corpo del testo 2 Carattere"/>
    <w:link w:val="Corpodeltesto2"/>
    <w:uiPriority w:val="99"/>
    <w:semiHidden/>
    <w:locked/>
    <w:rsid w:val="008617C2"/>
    <w:rPr>
      <w:rFonts w:ascii="Arial" w:hAnsi="Arial" w:cs="Times New Roman"/>
      <w:sz w:val="24"/>
      <w:szCs w:val="24"/>
      <w:lang w:val="x-none" w:eastAsia="it-IT"/>
    </w:rPr>
  </w:style>
  <w:style w:type="paragraph" w:styleId="Rientrocorpodeltesto2">
    <w:name w:val="Body Text Indent 2"/>
    <w:basedOn w:val="Normale"/>
    <w:link w:val="Rientrocorpodeltesto2Carattere"/>
    <w:uiPriority w:val="99"/>
    <w:semiHidden/>
    <w:rsid w:val="008617C2"/>
    <w:pPr>
      <w:ind w:left="720"/>
    </w:pPr>
    <w:rPr>
      <w:sz w:val="22"/>
    </w:rPr>
  </w:style>
  <w:style w:type="character" w:customStyle="1" w:styleId="Rientrocorpodeltesto2Carattere">
    <w:name w:val="Rientro corpo del testo 2 Carattere"/>
    <w:link w:val="Rientrocorpodeltesto2"/>
    <w:uiPriority w:val="99"/>
    <w:semiHidden/>
    <w:locked/>
    <w:rsid w:val="008617C2"/>
    <w:rPr>
      <w:rFonts w:ascii="Arial" w:hAnsi="Arial" w:cs="Times New Roman"/>
      <w:sz w:val="24"/>
      <w:szCs w:val="24"/>
      <w:lang w:val="x-none" w:eastAsia="it-IT"/>
    </w:rPr>
  </w:style>
  <w:style w:type="paragraph" w:styleId="Paragrafoelenco">
    <w:name w:val="List Paragraph"/>
    <w:basedOn w:val="Normale"/>
    <w:uiPriority w:val="99"/>
    <w:qFormat/>
    <w:rsid w:val="008A0A9E"/>
    <w:pPr>
      <w:ind w:left="720"/>
      <w:contextualSpacing/>
    </w:pPr>
  </w:style>
  <w:style w:type="paragraph" w:styleId="Testofumetto">
    <w:name w:val="Balloon Text"/>
    <w:basedOn w:val="Normale"/>
    <w:link w:val="TestofumettoCarattere"/>
    <w:uiPriority w:val="99"/>
    <w:semiHidden/>
    <w:unhideWhenUsed/>
    <w:rsid w:val="00616204"/>
    <w:rPr>
      <w:rFonts w:ascii="Tahoma" w:hAnsi="Tahoma" w:cs="Tahoma"/>
      <w:sz w:val="16"/>
      <w:szCs w:val="16"/>
    </w:rPr>
  </w:style>
  <w:style w:type="character" w:customStyle="1" w:styleId="TestofumettoCarattere">
    <w:name w:val="Testo fumetto Carattere"/>
    <w:link w:val="Testofumetto"/>
    <w:uiPriority w:val="99"/>
    <w:semiHidden/>
    <w:locked/>
    <w:rsid w:val="00616204"/>
    <w:rPr>
      <w:rFonts w:ascii="Tahoma" w:hAnsi="Tahoma" w:cs="Tahoma"/>
      <w:sz w:val="16"/>
      <w:szCs w:val="16"/>
    </w:rPr>
  </w:style>
  <w:style w:type="paragraph" w:styleId="Pidipagina">
    <w:name w:val="footer"/>
    <w:basedOn w:val="Normale"/>
    <w:link w:val="PidipaginaCarattere"/>
    <w:uiPriority w:val="99"/>
    <w:unhideWhenUsed/>
    <w:rsid w:val="00616204"/>
    <w:pPr>
      <w:tabs>
        <w:tab w:val="center" w:pos="4819"/>
        <w:tab w:val="right" w:pos="9638"/>
      </w:tabs>
    </w:pPr>
  </w:style>
  <w:style w:type="character" w:customStyle="1" w:styleId="PidipaginaCarattere">
    <w:name w:val="Piè di pagina Carattere"/>
    <w:link w:val="Pidipagina"/>
    <w:uiPriority w:val="99"/>
    <w:locked/>
    <w:rsid w:val="00616204"/>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17C2"/>
    <w:pPr>
      <w:jc w:val="both"/>
    </w:pPr>
    <w:rPr>
      <w:rFonts w:ascii="Arial" w:hAnsi="Arial" w:cs="Times New Roman"/>
      <w:sz w:val="24"/>
      <w:szCs w:val="24"/>
    </w:rPr>
  </w:style>
  <w:style w:type="paragraph" w:styleId="Titolo1">
    <w:name w:val="heading 1"/>
    <w:basedOn w:val="Normale"/>
    <w:next w:val="Normale"/>
    <w:link w:val="Titolo1Carattere"/>
    <w:uiPriority w:val="99"/>
    <w:qFormat/>
    <w:rsid w:val="008617C2"/>
    <w:pPr>
      <w:keepNext/>
      <w:jc w:val="center"/>
      <w:outlineLvl w:val="0"/>
    </w:pPr>
    <w:rPr>
      <w:sz w:val="28"/>
    </w:rPr>
  </w:style>
  <w:style w:type="paragraph" w:styleId="Titolo2">
    <w:name w:val="heading 2"/>
    <w:basedOn w:val="Normale"/>
    <w:next w:val="Normale"/>
    <w:link w:val="Titolo2Carattere"/>
    <w:uiPriority w:val="99"/>
    <w:qFormat/>
    <w:rsid w:val="008617C2"/>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8617C2"/>
    <w:rPr>
      <w:rFonts w:ascii="Arial" w:hAnsi="Arial" w:cs="Times New Roman"/>
      <w:sz w:val="24"/>
      <w:szCs w:val="24"/>
      <w:lang w:val="x-none" w:eastAsia="it-IT"/>
    </w:rPr>
  </w:style>
  <w:style w:type="character" w:customStyle="1" w:styleId="Titolo2Carattere">
    <w:name w:val="Titolo 2 Carattere"/>
    <w:link w:val="Titolo2"/>
    <w:uiPriority w:val="99"/>
    <w:semiHidden/>
    <w:locked/>
    <w:rsid w:val="008617C2"/>
    <w:rPr>
      <w:rFonts w:ascii="Arial" w:hAnsi="Arial" w:cs="Times New Roman"/>
      <w:b/>
      <w:bCs/>
      <w:sz w:val="24"/>
      <w:szCs w:val="24"/>
      <w:lang w:val="x-none" w:eastAsia="it-IT"/>
    </w:rPr>
  </w:style>
  <w:style w:type="paragraph" w:styleId="Intestazione">
    <w:name w:val="header"/>
    <w:basedOn w:val="Normale"/>
    <w:link w:val="IntestazioneCarattere"/>
    <w:uiPriority w:val="99"/>
    <w:semiHidden/>
    <w:rsid w:val="008617C2"/>
    <w:pPr>
      <w:tabs>
        <w:tab w:val="center" w:pos="4819"/>
        <w:tab w:val="right" w:pos="9638"/>
      </w:tabs>
    </w:pPr>
  </w:style>
  <w:style w:type="character" w:customStyle="1" w:styleId="IntestazioneCarattere">
    <w:name w:val="Intestazione Carattere"/>
    <w:link w:val="Intestazione"/>
    <w:uiPriority w:val="99"/>
    <w:semiHidden/>
    <w:locked/>
    <w:rsid w:val="008617C2"/>
    <w:rPr>
      <w:rFonts w:ascii="Arial" w:hAnsi="Arial" w:cs="Times New Roman"/>
      <w:sz w:val="24"/>
      <w:szCs w:val="24"/>
      <w:lang w:val="x-none" w:eastAsia="it-IT"/>
    </w:rPr>
  </w:style>
  <w:style w:type="paragraph" w:styleId="Corpotesto">
    <w:name w:val="Body Text"/>
    <w:basedOn w:val="Normale"/>
    <w:link w:val="CorpotestoCarattere"/>
    <w:uiPriority w:val="99"/>
    <w:semiHidden/>
    <w:rsid w:val="008617C2"/>
    <w:pPr>
      <w:spacing w:after="120"/>
    </w:pPr>
  </w:style>
  <w:style w:type="character" w:customStyle="1" w:styleId="CorpotestoCarattere">
    <w:name w:val="Corpo testo Carattere"/>
    <w:link w:val="Corpotesto"/>
    <w:uiPriority w:val="99"/>
    <w:semiHidden/>
    <w:locked/>
    <w:rsid w:val="008617C2"/>
    <w:rPr>
      <w:rFonts w:ascii="Arial" w:hAnsi="Arial" w:cs="Times New Roman"/>
      <w:sz w:val="24"/>
      <w:szCs w:val="24"/>
      <w:lang w:val="x-none" w:eastAsia="it-IT"/>
    </w:rPr>
  </w:style>
  <w:style w:type="paragraph" w:styleId="Data">
    <w:name w:val="Date"/>
    <w:basedOn w:val="Normale"/>
    <w:next w:val="Normale"/>
    <w:link w:val="DataCarattere"/>
    <w:uiPriority w:val="99"/>
    <w:semiHidden/>
    <w:rsid w:val="008617C2"/>
    <w:pPr>
      <w:spacing w:before="120" w:after="360"/>
      <w:ind w:left="567"/>
      <w:jc w:val="left"/>
    </w:pPr>
    <w:rPr>
      <w:sz w:val="22"/>
      <w:szCs w:val="20"/>
    </w:rPr>
  </w:style>
  <w:style w:type="character" w:customStyle="1" w:styleId="DataCarattere">
    <w:name w:val="Data Carattere"/>
    <w:link w:val="Data"/>
    <w:uiPriority w:val="99"/>
    <w:semiHidden/>
    <w:locked/>
    <w:rsid w:val="008617C2"/>
    <w:rPr>
      <w:rFonts w:ascii="Arial" w:hAnsi="Arial" w:cs="Times New Roman"/>
      <w:sz w:val="20"/>
      <w:szCs w:val="20"/>
      <w:lang w:val="x-none" w:eastAsia="it-IT"/>
    </w:rPr>
  </w:style>
  <w:style w:type="paragraph" w:styleId="Corpodeltesto2">
    <w:name w:val="Body Text 2"/>
    <w:basedOn w:val="Normale"/>
    <w:link w:val="Corpodeltesto2Carattere"/>
    <w:uiPriority w:val="99"/>
    <w:semiHidden/>
    <w:rsid w:val="008617C2"/>
    <w:rPr>
      <w:sz w:val="22"/>
    </w:rPr>
  </w:style>
  <w:style w:type="character" w:customStyle="1" w:styleId="Corpodeltesto2Carattere">
    <w:name w:val="Corpo del testo 2 Carattere"/>
    <w:link w:val="Corpodeltesto2"/>
    <w:uiPriority w:val="99"/>
    <w:semiHidden/>
    <w:locked/>
    <w:rsid w:val="008617C2"/>
    <w:rPr>
      <w:rFonts w:ascii="Arial" w:hAnsi="Arial" w:cs="Times New Roman"/>
      <w:sz w:val="24"/>
      <w:szCs w:val="24"/>
      <w:lang w:val="x-none" w:eastAsia="it-IT"/>
    </w:rPr>
  </w:style>
  <w:style w:type="paragraph" w:styleId="Rientrocorpodeltesto2">
    <w:name w:val="Body Text Indent 2"/>
    <w:basedOn w:val="Normale"/>
    <w:link w:val="Rientrocorpodeltesto2Carattere"/>
    <w:uiPriority w:val="99"/>
    <w:semiHidden/>
    <w:rsid w:val="008617C2"/>
    <w:pPr>
      <w:ind w:left="720"/>
    </w:pPr>
    <w:rPr>
      <w:sz w:val="22"/>
    </w:rPr>
  </w:style>
  <w:style w:type="character" w:customStyle="1" w:styleId="Rientrocorpodeltesto2Carattere">
    <w:name w:val="Rientro corpo del testo 2 Carattere"/>
    <w:link w:val="Rientrocorpodeltesto2"/>
    <w:uiPriority w:val="99"/>
    <w:semiHidden/>
    <w:locked/>
    <w:rsid w:val="008617C2"/>
    <w:rPr>
      <w:rFonts w:ascii="Arial" w:hAnsi="Arial" w:cs="Times New Roman"/>
      <w:sz w:val="24"/>
      <w:szCs w:val="24"/>
      <w:lang w:val="x-none" w:eastAsia="it-IT"/>
    </w:rPr>
  </w:style>
  <w:style w:type="paragraph" w:styleId="Paragrafoelenco">
    <w:name w:val="List Paragraph"/>
    <w:basedOn w:val="Normale"/>
    <w:uiPriority w:val="99"/>
    <w:qFormat/>
    <w:rsid w:val="008A0A9E"/>
    <w:pPr>
      <w:ind w:left="720"/>
      <w:contextualSpacing/>
    </w:pPr>
  </w:style>
  <w:style w:type="paragraph" w:styleId="Testofumetto">
    <w:name w:val="Balloon Text"/>
    <w:basedOn w:val="Normale"/>
    <w:link w:val="TestofumettoCarattere"/>
    <w:uiPriority w:val="99"/>
    <w:semiHidden/>
    <w:unhideWhenUsed/>
    <w:rsid w:val="00616204"/>
    <w:rPr>
      <w:rFonts w:ascii="Tahoma" w:hAnsi="Tahoma" w:cs="Tahoma"/>
      <w:sz w:val="16"/>
      <w:szCs w:val="16"/>
    </w:rPr>
  </w:style>
  <w:style w:type="character" w:customStyle="1" w:styleId="TestofumettoCarattere">
    <w:name w:val="Testo fumetto Carattere"/>
    <w:link w:val="Testofumetto"/>
    <w:uiPriority w:val="99"/>
    <w:semiHidden/>
    <w:locked/>
    <w:rsid w:val="00616204"/>
    <w:rPr>
      <w:rFonts w:ascii="Tahoma" w:hAnsi="Tahoma" w:cs="Tahoma"/>
      <w:sz w:val="16"/>
      <w:szCs w:val="16"/>
    </w:rPr>
  </w:style>
  <w:style w:type="paragraph" w:styleId="Pidipagina">
    <w:name w:val="footer"/>
    <w:basedOn w:val="Normale"/>
    <w:link w:val="PidipaginaCarattere"/>
    <w:uiPriority w:val="99"/>
    <w:unhideWhenUsed/>
    <w:rsid w:val="00616204"/>
    <w:pPr>
      <w:tabs>
        <w:tab w:val="center" w:pos="4819"/>
        <w:tab w:val="right" w:pos="9638"/>
      </w:tabs>
    </w:pPr>
  </w:style>
  <w:style w:type="character" w:customStyle="1" w:styleId="PidipaginaCarattere">
    <w:name w:val="Piè di pagina Carattere"/>
    <w:link w:val="Pidipagina"/>
    <w:uiPriority w:val="99"/>
    <w:locked/>
    <w:rsid w:val="00616204"/>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15560">
      <w:marLeft w:val="0"/>
      <w:marRight w:val="0"/>
      <w:marTop w:val="0"/>
      <w:marBottom w:val="0"/>
      <w:divBdr>
        <w:top w:val="none" w:sz="0" w:space="0" w:color="auto"/>
        <w:left w:val="none" w:sz="0" w:space="0" w:color="auto"/>
        <w:bottom w:val="none" w:sz="0" w:space="0" w:color="auto"/>
        <w:right w:val="none" w:sz="0" w:space="0" w:color="auto"/>
      </w:divBdr>
    </w:div>
    <w:div w:id="1194615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PROGRAMMA DELLE INFRASTRUTTURE STRATEGICHE (LEGGE N</vt:lpstr>
    </vt:vector>
  </TitlesOfParts>
  <Company>Hewlett-Packard Company</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DELLE INFRASTRUTTURE STRATEGICHE (LEGGE N</dc:title>
  <dc:creator>Senesi Amalia</dc:creator>
  <cp:lastModifiedBy>Quaranta Serenella</cp:lastModifiedBy>
  <cp:revision>2</cp:revision>
  <cp:lastPrinted>2014-09-01T09:35:00Z</cp:lastPrinted>
  <dcterms:created xsi:type="dcterms:W3CDTF">2020-11-16T12:49:00Z</dcterms:created>
  <dcterms:modified xsi:type="dcterms:W3CDTF">2020-11-16T12:49:00Z</dcterms:modified>
</cp:coreProperties>
</file>