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DC3" w:rsidRDefault="00D54DC3" w:rsidP="00D54DC3">
      <w:pPr>
        <w:jc w:val="center"/>
        <w:rPr>
          <w:rFonts w:cs="Arial"/>
          <w:sz w:val="22"/>
          <w:szCs w:val="22"/>
        </w:rPr>
      </w:pPr>
      <w:bookmarkStart w:id="0" w:name="_GoBack"/>
      <w:bookmarkEnd w:id="0"/>
      <w:r w:rsidRPr="003B641B">
        <w:rPr>
          <w:rFonts w:cs="Arial"/>
          <w:sz w:val="22"/>
          <w:szCs w:val="22"/>
        </w:rPr>
        <w:t xml:space="preserve">LINEA FERROVIARIA </w:t>
      </w:r>
      <w:r>
        <w:rPr>
          <w:rFonts w:cs="Arial"/>
          <w:sz w:val="22"/>
        </w:rPr>
        <w:t xml:space="preserve">ALTA VELOCITÀ/ALTA CAPACITÀ </w:t>
      </w:r>
      <w:r>
        <w:rPr>
          <w:rFonts w:cs="Arial"/>
          <w:sz w:val="22"/>
          <w:szCs w:val="22"/>
        </w:rPr>
        <w:t>(</w:t>
      </w:r>
      <w:r w:rsidRPr="003B641B">
        <w:rPr>
          <w:rFonts w:cs="Arial"/>
          <w:sz w:val="22"/>
          <w:szCs w:val="22"/>
        </w:rPr>
        <w:t>AV/AC</w:t>
      </w:r>
      <w:r>
        <w:rPr>
          <w:rFonts w:cs="Arial"/>
          <w:sz w:val="22"/>
          <w:szCs w:val="22"/>
        </w:rPr>
        <w:t>)</w:t>
      </w:r>
      <w:r w:rsidRPr="003B641B">
        <w:rPr>
          <w:rFonts w:cs="Arial"/>
          <w:sz w:val="22"/>
          <w:szCs w:val="22"/>
        </w:rPr>
        <w:t xml:space="preserve"> </w:t>
      </w:r>
    </w:p>
    <w:p w:rsidR="00D54DC3" w:rsidRPr="003B641B" w:rsidRDefault="00D54DC3" w:rsidP="00D54DC3">
      <w:pPr>
        <w:jc w:val="center"/>
        <w:rPr>
          <w:rFonts w:cs="Arial"/>
          <w:sz w:val="22"/>
          <w:szCs w:val="22"/>
        </w:rPr>
      </w:pPr>
      <w:r w:rsidRPr="003B641B">
        <w:rPr>
          <w:rFonts w:cs="Arial"/>
          <w:sz w:val="22"/>
          <w:szCs w:val="22"/>
        </w:rPr>
        <w:t>MILANO – VERONA.</w:t>
      </w:r>
    </w:p>
    <w:p w:rsidR="00D54DC3" w:rsidRPr="003B641B" w:rsidRDefault="00D54DC3" w:rsidP="00D54DC3">
      <w:pPr>
        <w:jc w:val="center"/>
        <w:rPr>
          <w:rFonts w:cs="Arial"/>
          <w:sz w:val="22"/>
          <w:szCs w:val="22"/>
        </w:rPr>
      </w:pPr>
      <w:r w:rsidRPr="003B641B">
        <w:rPr>
          <w:rFonts w:cs="Arial"/>
          <w:sz w:val="22"/>
          <w:szCs w:val="22"/>
        </w:rPr>
        <w:t>TRATTA BRESCIA – VERONA: LOTTO</w:t>
      </w:r>
      <w:r>
        <w:rPr>
          <w:rFonts w:cs="Arial"/>
          <w:sz w:val="22"/>
          <w:szCs w:val="22"/>
        </w:rPr>
        <w:t xml:space="preserve"> </w:t>
      </w:r>
      <w:r w:rsidRPr="003B641B">
        <w:rPr>
          <w:rFonts w:cs="Arial"/>
          <w:sz w:val="22"/>
          <w:szCs w:val="22"/>
        </w:rPr>
        <w:t>FUNZIONALE BRESCIA EST – VERONA (ESCLUSO NODO DI VERONA)</w:t>
      </w:r>
    </w:p>
    <w:p w:rsidR="00D54DC3" w:rsidRPr="003B641B" w:rsidRDefault="00D54DC3" w:rsidP="00D54DC3">
      <w:pPr>
        <w:jc w:val="center"/>
        <w:rPr>
          <w:rFonts w:cs="Arial"/>
          <w:sz w:val="22"/>
          <w:szCs w:val="22"/>
        </w:rPr>
      </w:pPr>
      <w:r w:rsidRPr="003B641B">
        <w:rPr>
          <w:rFonts w:cs="Arial"/>
          <w:sz w:val="22"/>
          <w:szCs w:val="22"/>
        </w:rPr>
        <w:t>AUTORIZZAZIONE DEL 2° LOTTO COSTRUTTIVO</w:t>
      </w:r>
    </w:p>
    <w:p w:rsidR="00D54DC3" w:rsidRPr="003B641B" w:rsidRDefault="00D54DC3" w:rsidP="00D54DC3">
      <w:pPr>
        <w:jc w:val="center"/>
        <w:rPr>
          <w:rFonts w:cs="Arial"/>
          <w:sz w:val="22"/>
          <w:szCs w:val="22"/>
        </w:rPr>
      </w:pPr>
      <w:r w:rsidRPr="003B641B">
        <w:rPr>
          <w:rFonts w:cs="Arial"/>
          <w:sz w:val="22"/>
          <w:szCs w:val="22"/>
        </w:rPr>
        <w:t>CUP (F81H91000000008)</w:t>
      </w:r>
    </w:p>
    <w:p w:rsidR="00D54DC3" w:rsidRDefault="00D54DC3" w:rsidP="00D54DC3">
      <w:pPr>
        <w:pStyle w:val="Titolo2"/>
        <w:spacing w:after="120" w:line="280" w:lineRule="exact"/>
        <w:jc w:val="right"/>
        <w:rPr>
          <w:rFonts w:ascii="Times New Roman" w:hAnsi="Times New Roman"/>
          <w:szCs w:val="24"/>
          <w:lang w:val="it-IT"/>
        </w:rPr>
      </w:pPr>
    </w:p>
    <w:p w:rsidR="00D54DC3" w:rsidRPr="00EE702F" w:rsidRDefault="00D54DC3" w:rsidP="00D54DC3">
      <w:pPr>
        <w:pStyle w:val="Titolo2"/>
        <w:spacing w:after="120" w:line="280" w:lineRule="exact"/>
        <w:jc w:val="right"/>
        <w:rPr>
          <w:rFonts w:ascii="Times New Roman" w:hAnsi="Times New Roman"/>
          <w:szCs w:val="24"/>
          <w:lang w:val="it-IT"/>
        </w:rPr>
      </w:pPr>
      <w:r>
        <w:rPr>
          <w:rFonts w:ascii="Times New Roman" w:hAnsi="Times New Roman"/>
          <w:szCs w:val="24"/>
        </w:rPr>
        <w:t xml:space="preserve">ALLEGATO </w:t>
      </w:r>
      <w:r>
        <w:rPr>
          <w:rFonts w:ascii="Times New Roman" w:hAnsi="Times New Roman"/>
          <w:szCs w:val="24"/>
          <w:lang w:val="it-IT"/>
        </w:rPr>
        <w:t>1</w:t>
      </w:r>
    </w:p>
    <w:p w:rsidR="00D54DC3" w:rsidRPr="00EE702F" w:rsidRDefault="00D54DC3" w:rsidP="00D54DC3">
      <w:pPr>
        <w:pStyle w:val="Titolo2"/>
        <w:spacing w:after="120" w:line="280" w:lineRule="exact"/>
        <w:jc w:val="center"/>
        <w:rPr>
          <w:rFonts w:ascii="Times New Roman" w:hAnsi="Times New Roman"/>
          <w:szCs w:val="24"/>
          <w:lang w:val="it-IT"/>
        </w:rPr>
      </w:pPr>
    </w:p>
    <w:p w:rsidR="00D54DC3" w:rsidRPr="00EE702F" w:rsidRDefault="00D54DC3" w:rsidP="00D54DC3">
      <w:pPr>
        <w:pStyle w:val="Titolo2"/>
        <w:spacing w:after="120" w:line="280" w:lineRule="exact"/>
        <w:jc w:val="center"/>
        <w:rPr>
          <w:rFonts w:ascii="Times New Roman" w:hAnsi="Times New Roman"/>
          <w:szCs w:val="24"/>
          <w:lang w:val="it-IT"/>
        </w:rPr>
      </w:pPr>
      <w:r w:rsidRPr="00EE702F">
        <w:rPr>
          <w:rFonts w:ascii="Times New Roman" w:hAnsi="Times New Roman"/>
          <w:szCs w:val="24"/>
        </w:rPr>
        <w:t>ATTIVITÀ E INTERVENTI INCLUSI NEI LOTTI COSTRUTTIVI</w:t>
      </w:r>
    </w:p>
    <w:p w:rsidR="00D54DC3" w:rsidRPr="00EE702F" w:rsidRDefault="00D54DC3" w:rsidP="00D54DC3">
      <w:pPr>
        <w:rPr>
          <w:rFonts w:ascii="Times New Roman" w:hAnsi="Times New Roman"/>
        </w:rPr>
      </w:pPr>
    </w:p>
    <w:p w:rsidR="00D54DC3" w:rsidRPr="00EE702F" w:rsidRDefault="00D54DC3" w:rsidP="00D54DC3">
      <w:pPr>
        <w:pStyle w:val="Titolo2"/>
        <w:tabs>
          <w:tab w:val="clear" w:pos="1134"/>
        </w:tabs>
        <w:spacing w:after="120" w:line="280" w:lineRule="exact"/>
        <w:ind w:left="284"/>
        <w:rPr>
          <w:rFonts w:ascii="Times New Roman" w:eastAsia="Times New Roman" w:hAnsi="Times New Roman"/>
          <w:bCs/>
          <w:caps w:val="0"/>
          <w:smallCaps/>
          <w:color w:val="000000"/>
          <w:szCs w:val="24"/>
          <w:u w:color="000000"/>
          <w:bdr w:val="nil"/>
          <w:lang w:val="it-IT" w:eastAsia="it-IT"/>
        </w:rPr>
      </w:pPr>
      <w:r w:rsidRPr="00EE702F">
        <w:rPr>
          <w:rFonts w:ascii="Times New Roman" w:eastAsia="Times New Roman" w:hAnsi="Times New Roman"/>
          <w:bCs/>
          <w:caps w:val="0"/>
          <w:smallCaps/>
          <w:color w:val="000000"/>
          <w:szCs w:val="24"/>
          <w:u w:color="000000"/>
          <w:bdr w:val="nil"/>
          <w:lang w:val="it-IT" w:eastAsia="it-IT"/>
        </w:rPr>
        <w:t xml:space="preserve">1° Lotto costruttivo </w:t>
      </w:r>
    </w:p>
    <w:p w:rsidR="00D54DC3" w:rsidRPr="00EE702F" w:rsidRDefault="00D54DC3" w:rsidP="00D54DC3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80" w:lineRule="exact"/>
        <w:ind w:left="357"/>
        <w:outlineLvl w:val="2"/>
        <w:rPr>
          <w:rFonts w:ascii="Times New Roman" w:eastAsia="Garamond" w:hAnsi="Times New Roman"/>
          <w:bCs/>
          <w:i/>
          <w:iCs/>
          <w:smallCaps/>
          <w:color w:val="000000"/>
          <w:u w:val="single" w:color="000000"/>
          <w:bdr w:val="nil"/>
        </w:rPr>
      </w:pPr>
      <w:r w:rsidRPr="00EE702F">
        <w:rPr>
          <w:rFonts w:ascii="Times New Roman" w:eastAsia="Arial Unicode MS" w:hAnsi="Times New Roman"/>
          <w:i/>
          <w:iCs/>
          <w:smallCaps/>
          <w:color w:val="000000"/>
          <w:u w:val="single" w:color="000000"/>
          <w:bdr w:val="nil"/>
        </w:rPr>
        <w:t xml:space="preserve">Tratta AV/AC (affidata al General Contractor) </w:t>
      </w:r>
    </w:p>
    <w:p w:rsidR="00D54DC3" w:rsidRPr="00BF46EE" w:rsidRDefault="00D54DC3" w:rsidP="00D54DC3">
      <w:pPr>
        <w:pStyle w:val="Paragrafoelenco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120" w:line="280" w:lineRule="exact"/>
        <w:textAlignment w:val="auto"/>
        <w:rPr>
          <w:rFonts w:ascii="Times New Roman" w:hAnsi="Times New Roman"/>
          <w:bCs w:val="0"/>
          <w:color w:val="000000"/>
          <w:szCs w:val="24"/>
          <w:u w:color="000000"/>
          <w:bdr w:val="nil"/>
          <w:lang w:eastAsia="en-US"/>
        </w:rPr>
      </w:pPr>
      <w:r w:rsidRPr="00BF46EE">
        <w:rPr>
          <w:rFonts w:ascii="Times New Roman" w:hAnsi="Times New Roman"/>
          <w:bCs w:val="0"/>
          <w:color w:val="000000"/>
          <w:szCs w:val="24"/>
          <w:u w:color="000000"/>
          <w:bdr w:val="nil"/>
          <w:lang w:eastAsia="en-US"/>
        </w:rPr>
        <w:t>adeguamento della progettazione definitiva sviluppata dal GC nel 2006;</w:t>
      </w:r>
    </w:p>
    <w:p w:rsidR="00D54DC3" w:rsidRPr="00BF46EE" w:rsidRDefault="00D54DC3" w:rsidP="00D54DC3">
      <w:pPr>
        <w:pStyle w:val="Paragrafoelenco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120" w:line="280" w:lineRule="exact"/>
        <w:textAlignment w:val="auto"/>
        <w:rPr>
          <w:rFonts w:ascii="Times New Roman" w:hAnsi="Times New Roman"/>
          <w:bCs w:val="0"/>
          <w:color w:val="000000"/>
          <w:szCs w:val="24"/>
          <w:u w:color="000000"/>
          <w:bdr w:val="nil"/>
          <w:lang w:eastAsia="en-US"/>
        </w:rPr>
      </w:pPr>
      <w:r w:rsidRPr="00BF46EE">
        <w:rPr>
          <w:rFonts w:ascii="Times New Roman" w:hAnsi="Times New Roman"/>
          <w:bCs w:val="0"/>
          <w:color w:val="000000"/>
          <w:szCs w:val="24"/>
          <w:u w:color="000000"/>
          <w:bdr w:val="nil"/>
          <w:lang w:eastAsia="en-US"/>
        </w:rPr>
        <w:t>tutte le opere civili della linea AV dalla progressiva 100+542 alla progressiva 140+780 comprese le interconnessioni di Brescia Est e di Verona Merci;</w:t>
      </w:r>
    </w:p>
    <w:p w:rsidR="00D54DC3" w:rsidRPr="00BF46EE" w:rsidRDefault="00D54DC3" w:rsidP="00D54DC3">
      <w:pPr>
        <w:pStyle w:val="Paragrafoelenco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120" w:line="280" w:lineRule="exact"/>
        <w:textAlignment w:val="auto"/>
        <w:rPr>
          <w:rFonts w:ascii="Times New Roman" w:hAnsi="Times New Roman"/>
          <w:bCs w:val="0"/>
          <w:color w:val="000000"/>
          <w:szCs w:val="24"/>
          <w:u w:color="000000"/>
          <w:bdr w:val="nil"/>
          <w:lang w:eastAsia="en-US"/>
        </w:rPr>
      </w:pPr>
      <w:r w:rsidRPr="00BF46EE">
        <w:rPr>
          <w:rFonts w:ascii="Times New Roman" w:hAnsi="Times New Roman"/>
          <w:bCs w:val="0"/>
          <w:color w:val="000000"/>
          <w:szCs w:val="24"/>
          <w:u w:color="000000"/>
          <w:bdr w:val="nil"/>
          <w:lang w:eastAsia="en-US"/>
        </w:rPr>
        <w:t>attività propedeutiche per l’inizio dei lavori delle opere civili di competenza del Lotto costruttivo: archeologia, bonifica bellica, demolizioni;</w:t>
      </w:r>
    </w:p>
    <w:p w:rsidR="00D54DC3" w:rsidRPr="00BF46EE" w:rsidRDefault="00D54DC3" w:rsidP="00D54DC3">
      <w:pPr>
        <w:pStyle w:val="Paragrafoelenco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120" w:line="280" w:lineRule="exact"/>
        <w:textAlignment w:val="auto"/>
        <w:rPr>
          <w:rFonts w:ascii="Times New Roman" w:hAnsi="Times New Roman"/>
          <w:bCs w:val="0"/>
          <w:color w:val="000000"/>
          <w:szCs w:val="24"/>
          <w:u w:color="000000"/>
          <w:bdr w:val="nil"/>
          <w:lang w:eastAsia="en-US"/>
        </w:rPr>
      </w:pPr>
      <w:r w:rsidRPr="00BF46EE">
        <w:rPr>
          <w:rFonts w:ascii="Times New Roman" w:hAnsi="Times New Roman"/>
          <w:bCs w:val="0"/>
          <w:color w:val="000000"/>
          <w:szCs w:val="24"/>
          <w:u w:color="000000"/>
          <w:bdr w:val="nil"/>
          <w:lang w:eastAsia="en-US"/>
        </w:rPr>
        <w:t>bonifica dei soli siti inquinati interferenti e/o contigui i lavori delle opere civili di competenza del Lotto costruttivo;</w:t>
      </w:r>
    </w:p>
    <w:p w:rsidR="00D54DC3" w:rsidRPr="00BF46EE" w:rsidRDefault="00D54DC3" w:rsidP="00D54DC3">
      <w:pPr>
        <w:pStyle w:val="Paragrafoelenco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120" w:line="280" w:lineRule="exact"/>
        <w:textAlignment w:val="auto"/>
        <w:rPr>
          <w:rFonts w:ascii="Times New Roman" w:hAnsi="Times New Roman"/>
          <w:bCs w:val="0"/>
          <w:color w:val="000000"/>
          <w:szCs w:val="24"/>
          <w:u w:color="000000"/>
          <w:bdr w:val="nil"/>
          <w:lang w:eastAsia="en-US"/>
        </w:rPr>
      </w:pPr>
      <w:r w:rsidRPr="00BF46EE">
        <w:rPr>
          <w:rFonts w:ascii="Times New Roman" w:hAnsi="Times New Roman"/>
          <w:bCs w:val="0"/>
          <w:color w:val="000000"/>
          <w:szCs w:val="24"/>
          <w:u w:color="000000"/>
          <w:bdr w:val="nil"/>
          <w:lang w:eastAsia="en-US"/>
        </w:rPr>
        <w:t>risoluzioni di tutte le interferenze con pubblici servizi interferenti con i lavori delle opere civili di competenza del Lotto costruttivo;</w:t>
      </w:r>
    </w:p>
    <w:p w:rsidR="00D54DC3" w:rsidRPr="00BF46EE" w:rsidRDefault="00D54DC3" w:rsidP="00D54DC3">
      <w:pPr>
        <w:pStyle w:val="Paragrafoelenco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120" w:line="280" w:lineRule="exact"/>
        <w:textAlignment w:val="auto"/>
        <w:rPr>
          <w:rFonts w:ascii="Times New Roman" w:hAnsi="Times New Roman"/>
          <w:bCs w:val="0"/>
          <w:color w:val="000000"/>
          <w:szCs w:val="24"/>
          <w:u w:color="000000"/>
          <w:bdr w:val="nil"/>
          <w:lang w:eastAsia="en-US"/>
        </w:rPr>
      </w:pPr>
      <w:r w:rsidRPr="00BF46EE">
        <w:rPr>
          <w:rFonts w:ascii="Times New Roman" w:hAnsi="Times New Roman"/>
          <w:bCs w:val="0"/>
          <w:color w:val="000000"/>
          <w:szCs w:val="24"/>
          <w:u w:color="000000"/>
          <w:bdr w:val="nil"/>
          <w:lang w:eastAsia="en-US"/>
        </w:rPr>
        <w:t>monitoraggio ambientale per l’esecuzione dei lavori delle opere civili di competenza del Lotto costruttivo;</w:t>
      </w:r>
    </w:p>
    <w:p w:rsidR="00D54DC3" w:rsidRPr="00BF46EE" w:rsidRDefault="00D54DC3" w:rsidP="00D54DC3">
      <w:pPr>
        <w:pStyle w:val="Paragrafoelenco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120" w:line="280" w:lineRule="exact"/>
        <w:textAlignment w:val="auto"/>
        <w:rPr>
          <w:rFonts w:ascii="Times New Roman" w:hAnsi="Times New Roman"/>
          <w:bCs w:val="0"/>
          <w:color w:val="000000"/>
          <w:szCs w:val="24"/>
          <w:u w:color="000000"/>
          <w:bdr w:val="nil"/>
          <w:lang w:eastAsia="en-US"/>
        </w:rPr>
      </w:pPr>
      <w:r w:rsidRPr="00BF46EE">
        <w:rPr>
          <w:rFonts w:ascii="Times New Roman" w:hAnsi="Times New Roman"/>
          <w:bCs w:val="0"/>
          <w:color w:val="000000"/>
          <w:szCs w:val="24"/>
          <w:u w:color="000000"/>
          <w:bdr w:val="nil"/>
          <w:lang w:eastAsia="en-US"/>
        </w:rPr>
        <w:t>espropri necessari per l’esecuzione dei lavori delle opere civili di competenza del Lotto costruttivo;</w:t>
      </w:r>
    </w:p>
    <w:p w:rsidR="00D54DC3" w:rsidRPr="00BF46EE" w:rsidRDefault="00D54DC3" w:rsidP="00D54DC3">
      <w:pPr>
        <w:pStyle w:val="Paragrafoelenco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120" w:line="280" w:lineRule="exact"/>
        <w:textAlignment w:val="auto"/>
        <w:rPr>
          <w:rFonts w:ascii="Times New Roman" w:hAnsi="Times New Roman"/>
          <w:bCs w:val="0"/>
          <w:color w:val="000000"/>
          <w:szCs w:val="24"/>
          <w:u w:color="000000"/>
          <w:bdr w:val="nil"/>
          <w:lang w:eastAsia="en-US"/>
        </w:rPr>
      </w:pPr>
      <w:r w:rsidRPr="00BF46EE">
        <w:rPr>
          <w:rFonts w:ascii="Times New Roman" w:hAnsi="Times New Roman"/>
          <w:bCs w:val="0"/>
          <w:color w:val="000000"/>
          <w:szCs w:val="24"/>
          <w:u w:color="000000"/>
          <w:bdr w:val="nil"/>
          <w:lang w:eastAsia="en-US"/>
        </w:rPr>
        <w:t xml:space="preserve">tutti i lavori di Sovrastruttura Ferroviaria ed Impianti Tecnologici necessari alla realizzazione del by-pass della Linea storica necessari per l’esecuzione delle gallerie dell’IC di Verona Merci. </w:t>
      </w:r>
    </w:p>
    <w:p w:rsidR="00D54DC3" w:rsidRPr="00BF46EE" w:rsidRDefault="00D54DC3" w:rsidP="00D54DC3">
      <w:pPr>
        <w:pStyle w:val="Paragrafoelenco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120" w:line="280" w:lineRule="exact"/>
        <w:textAlignment w:val="auto"/>
        <w:rPr>
          <w:rFonts w:ascii="Times New Roman" w:hAnsi="Times New Roman"/>
          <w:bCs w:val="0"/>
          <w:color w:val="000000"/>
          <w:szCs w:val="24"/>
          <w:u w:color="000000"/>
          <w:bdr w:val="nil"/>
          <w:lang w:eastAsia="en-US"/>
        </w:rPr>
      </w:pPr>
      <w:r w:rsidRPr="00BF46EE">
        <w:rPr>
          <w:rFonts w:ascii="Times New Roman" w:hAnsi="Times New Roman"/>
          <w:bCs w:val="0"/>
          <w:color w:val="000000"/>
          <w:szCs w:val="24"/>
          <w:u w:color="000000"/>
          <w:bdr w:val="nil"/>
          <w:lang w:eastAsia="en-US"/>
        </w:rPr>
        <w:t>risoluzione delle interferenze con la linea storica;</w:t>
      </w:r>
    </w:p>
    <w:p w:rsidR="00D54DC3" w:rsidRPr="00BF46EE" w:rsidRDefault="00D54DC3" w:rsidP="00D54DC3">
      <w:pPr>
        <w:pStyle w:val="Paragrafoelenco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120" w:line="280" w:lineRule="exact"/>
        <w:textAlignment w:val="auto"/>
        <w:rPr>
          <w:rFonts w:ascii="Times New Roman" w:hAnsi="Times New Roman"/>
          <w:bCs w:val="0"/>
          <w:color w:val="000000"/>
          <w:szCs w:val="24"/>
          <w:u w:color="000000"/>
          <w:bdr w:val="nil"/>
          <w:lang w:eastAsia="en-US"/>
        </w:rPr>
      </w:pPr>
      <w:r w:rsidRPr="00BF46EE">
        <w:rPr>
          <w:rFonts w:ascii="Times New Roman" w:hAnsi="Times New Roman"/>
          <w:bCs w:val="0"/>
          <w:color w:val="000000"/>
          <w:szCs w:val="24"/>
          <w:u w:color="000000"/>
          <w:bdr w:val="nil"/>
          <w:lang w:eastAsia="en-US"/>
        </w:rPr>
        <w:t>opere di cantierizzazione necessarie all’esecuzione dei lavori;</w:t>
      </w:r>
    </w:p>
    <w:p w:rsidR="00D54DC3" w:rsidRPr="00BF46EE" w:rsidRDefault="00D54DC3" w:rsidP="00D54DC3">
      <w:pPr>
        <w:pStyle w:val="Paragrafoelenco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120" w:line="280" w:lineRule="exact"/>
        <w:textAlignment w:val="auto"/>
        <w:rPr>
          <w:rFonts w:ascii="Times New Roman" w:hAnsi="Times New Roman"/>
          <w:bCs w:val="0"/>
          <w:color w:val="000000"/>
          <w:szCs w:val="24"/>
          <w:u w:color="000000"/>
          <w:bdr w:val="nil"/>
          <w:lang w:eastAsia="en-US"/>
        </w:rPr>
      </w:pPr>
      <w:r w:rsidRPr="00BF46EE">
        <w:rPr>
          <w:rFonts w:ascii="Times New Roman" w:hAnsi="Times New Roman"/>
          <w:bCs w:val="0"/>
          <w:color w:val="000000"/>
          <w:szCs w:val="24"/>
          <w:u w:color="000000"/>
          <w:bdr w:val="nil"/>
          <w:lang w:eastAsia="en-US"/>
        </w:rPr>
        <w:lastRenderedPageBreak/>
        <w:t>le sole fondazioni delle barriere antirumore ricadenti nelle opere di sede sopra descritte.</w:t>
      </w:r>
    </w:p>
    <w:p w:rsidR="00D54DC3" w:rsidRPr="001C3401" w:rsidRDefault="00D54DC3" w:rsidP="00D54DC3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66"/>
        </w:tabs>
        <w:outlineLvl w:val="2"/>
        <w:rPr>
          <w:rFonts w:ascii="Times New Roman" w:eastAsia="Arial Unicode MS" w:hAnsi="Times New Roman"/>
          <w:bCs/>
          <w:i/>
          <w:iCs/>
          <w:smallCaps/>
          <w:color w:val="000000"/>
          <w:sz w:val="8"/>
          <w:szCs w:val="8"/>
          <w:bdr w:val="nil"/>
        </w:rPr>
      </w:pPr>
      <w:r w:rsidRPr="001C3401">
        <w:rPr>
          <w:rFonts w:ascii="Times New Roman" w:eastAsia="Arial Unicode MS" w:hAnsi="Times New Roman"/>
          <w:i/>
          <w:iCs/>
          <w:smallCaps/>
          <w:color w:val="000000"/>
          <w:sz w:val="8"/>
          <w:szCs w:val="8"/>
          <w:bdr w:val="nil"/>
        </w:rPr>
        <w:tab/>
      </w:r>
    </w:p>
    <w:p w:rsidR="00D54DC3" w:rsidRPr="00EE702F" w:rsidRDefault="00D54DC3" w:rsidP="00D54DC3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80" w:lineRule="exact"/>
        <w:ind w:left="357"/>
        <w:outlineLvl w:val="2"/>
        <w:rPr>
          <w:rFonts w:ascii="Times New Roman" w:eastAsia="Garamond" w:hAnsi="Times New Roman"/>
          <w:bCs/>
          <w:i/>
          <w:iCs/>
          <w:smallCaps/>
          <w:color w:val="000000"/>
          <w:u w:val="single" w:color="000000"/>
          <w:bdr w:val="nil"/>
        </w:rPr>
      </w:pPr>
      <w:r w:rsidRPr="00EE702F">
        <w:rPr>
          <w:rFonts w:ascii="Times New Roman" w:eastAsia="Arial Unicode MS" w:hAnsi="Times New Roman"/>
          <w:i/>
          <w:iCs/>
          <w:smallCaps/>
          <w:color w:val="000000"/>
          <w:u w:val="single" w:color="000000"/>
          <w:bdr w:val="nil"/>
        </w:rPr>
        <w:t>Altri oneri gestiti direttamente da RFI</w:t>
      </w:r>
    </w:p>
    <w:p w:rsidR="00D54DC3" w:rsidRPr="00EE702F" w:rsidRDefault="00D54DC3" w:rsidP="00D54DC3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80" w:lineRule="exact"/>
        <w:ind w:firstLine="357"/>
        <w:rPr>
          <w:rFonts w:ascii="Times New Roman" w:eastAsia="Garamond" w:hAnsi="Times New Roman"/>
          <w:bCs/>
          <w:color w:val="000000"/>
          <w:u w:color="000000"/>
          <w:bdr w:val="nil"/>
          <w:lang w:eastAsia="en-US"/>
        </w:rPr>
      </w:pPr>
      <w:r w:rsidRPr="00EE702F">
        <w:rPr>
          <w:rFonts w:ascii="Times New Roman" w:hAnsi="Times New Roman"/>
          <w:color w:val="000000"/>
          <w:u w:color="000000"/>
          <w:bdr w:val="nil"/>
          <w:lang w:eastAsia="en-US"/>
        </w:rPr>
        <w:t>Sono inoltre state previste le seguenti voci di costo, che saranno gestite direttamente da RFI:</w:t>
      </w:r>
    </w:p>
    <w:p w:rsidR="00D54DC3" w:rsidRPr="00EE702F" w:rsidRDefault="00D54DC3" w:rsidP="00D54DC3">
      <w:pPr>
        <w:pStyle w:val="Paragrafoelenco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120" w:line="280" w:lineRule="exact"/>
        <w:textAlignment w:val="auto"/>
        <w:rPr>
          <w:rFonts w:ascii="Times New Roman" w:hAnsi="Times New Roman"/>
          <w:bCs w:val="0"/>
          <w:color w:val="000000"/>
          <w:szCs w:val="24"/>
          <w:u w:color="000000"/>
          <w:bdr w:val="nil"/>
          <w:lang w:eastAsia="en-US"/>
        </w:rPr>
      </w:pPr>
      <w:r w:rsidRPr="00EE702F">
        <w:rPr>
          <w:rFonts w:ascii="Times New Roman" w:hAnsi="Times New Roman"/>
          <w:bCs w:val="0"/>
          <w:color w:val="000000"/>
          <w:szCs w:val="24"/>
          <w:u w:color="000000"/>
          <w:bdr w:val="nil"/>
          <w:lang w:eastAsia="en-US"/>
        </w:rPr>
        <w:t>oneri di ingegneria, collaudi e costi di struttura commisurati alle attività di competenza del Lotto;</w:t>
      </w:r>
    </w:p>
    <w:p w:rsidR="00D54DC3" w:rsidRDefault="00D54DC3" w:rsidP="00D54DC3">
      <w:pPr>
        <w:pStyle w:val="Paragrafoelenco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120" w:line="280" w:lineRule="exact"/>
        <w:textAlignment w:val="auto"/>
        <w:rPr>
          <w:rFonts w:ascii="Times New Roman" w:hAnsi="Times New Roman"/>
          <w:bCs w:val="0"/>
          <w:color w:val="000000"/>
          <w:szCs w:val="24"/>
          <w:u w:color="000000"/>
          <w:bdr w:val="nil"/>
          <w:lang w:eastAsia="en-US"/>
        </w:rPr>
      </w:pPr>
      <w:r w:rsidRPr="00EE702F">
        <w:rPr>
          <w:rFonts w:ascii="Times New Roman" w:hAnsi="Times New Roman"/>
          <w:bCs w:val="0"/>
          <w:color w:val="000000"/>
          <w:szCs w:val="24"/>
          <w:u w:color="000000"/>
          <w:bdr w:val="nil"/>
          <w:lang w:eastAsia="en-US"/>
        </w:rPr>
        <w:t>imprevisti commisurati alle a</w:t>
      </w:r>
      <w:r>
        <w:rPr>
          <w:rFonts w:ascii="Times New Roman" w:hAnsi="Times New Roman"/>
          <w:bCs w:val="0"/>
          <w:color w:val="000000"/>
          <w:szCs w:val="24"/>
          <w:u w:color="000000"/>
          <w:bdr w:val="nil"/>
          <w:lang w:eastAsia="en-US"/>
        </w:rPr>
        <w:t>ttività di competenza del Lotto.</w:t>
      </w:r>
    </w:p>
    <w:p w:rsidR="00D54DC3" w:rsidRPr="00EE702F" w:rsidRDefault="00D54DC3" w:rsidP="00D54DC3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80" w:lineRule="exact"/>
        <w:ind w:left="360"/>
        <w:rPr>
          <w:rFonts w:ascii="Times New Roman" w:hAnsi="Times New Roman"/>
          <w:bCs/>
          <w:color w:val="000000"/>
          <w:u w:color="000000"/>
          <w:bdr w:val="nil"/>
          <w:lang w:eastAsia="en-US"/>
        </w:rPr>
      </w:pPr>
    </w:p>
    <w:p w:rsidR="00D54DC3" w:rsidRPr="00EE702F" w:rsidRDefault="00D54DC3" w:rsidP="00D54DC3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120" w:line="280" w:lineRule="exact"/>
        <w:ind w:left="284"/>
        <w:outlineLvl w:val="1"/>
        <w:rPr>
          <w:rFonts w:ascii="Times New Roman" w:hAnsi="Times New Roman"/>
          <w:b/>
          <w:smallCaps/>
          <w:color w:val="000000"/>
          <w:u w:color="000000"/>
          <w:bdr w:val="nil"/>
        </w:rPr>
      </w:pPr>
      <w:r w:rsidRPr="00EE702F">
        <w:rPr>
          <w:rFonts w:ascii="Times New Roman" w:hAnsi="Times New Roman"/>
          <w:b/>
          <w:smallCaps/>
          <w:color w:val="000000"/>
          <w:u w:color="000000"/>
          <w:bdr w:val="nil"/>
        </w:rPr>
        <w:t>2° Lotto costruttivo</w:t>
      </w:r>
    </w:p>
    <w:p w:rsidR="00D54DC3" w:rsidRPr="00EE702F" w:rsidRDefault="00D54DC3" w:rsidP="00D54DC3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80" w:lineRule="exact"/>
        <w:ind w:left="357"/>
        <w:outlineLvl w:val="2"/>
        <w:rPr>
          <w:rFonts w:ascii="Times New Roman" w:eastAsia="Garamond" w:hAnsi="Times New Roman"/>
          <w:bCs/>
          <w:i/>
          <w:iCs/>
          <w:smallCaps/>
          <w:color w:val="000000"/>
          <w:u w:val="single" w:color="000000"/>
          <w:bdr w:val="nil"/>
        </w:rPr>
      </w:pPr>
      <w:r w:rsidRPr="00EE702F">
        <w:rPr>
          <w:rFonts w:ascii="Times New Roman" w:eastAsia="Arial Unicode MS" w:hAnsi="Times New Roman"/>
          <w:i/>
          <w:iCs/>
          <w:smallCaps/>
          <w:color w:val="000000"/>
          <w:u w:val="single" w:color="000000"/>
          <w:bdr w:val="nil"/>
        </w:rPr>
        <w:t>Tratta AV/AC (affidata al General Contractor)</w:t>
      </w:r>
    </w:p>
    <w:p w:rsidR="00D54DC3" w:rsidRPr="00EE702F" w:rsidRDefault="00D54DC3" w:rsidP="00D54DC3">
      <w:pPr>
        <w:pStyle w:val="Paragrafoelenco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120" w:line="280" w:lineRule="exact"/>
        <w:textAlignment w:val="auto"/>
        <w:rPr>
          <w:rFonts w:ascii="Times New Roman" w:hAnsi="Times New Roman"/>
          <w:bCs w:val="0"/>
          <w:color w:val="000000"/>
          <w:szCs w:val="24"/>
          <w:u w:color="000000"/>
          <w:bdr w:val="nil"/>
          <w:lang w:eastAsia="en-US"/>
        </w:rPr>
      </w:pPr>
      <w:r w:rsidRPr="00EE702F">
        <w:rPr>
          <w:rFonts w:ascii="Times New Roman" w:hAnsi="Times New Roman"/>
          <w:bCs w:val="0"/>
          <w:color w:val="000000"/>
          <w:szCs w:val="24"/>
          <w:u w:color="000000"/>
          <w:bdr w:val="nil"/>
          <w:lang w:eastAsia="en-US"/>
        </w:rPr>
        <w:t>tutte le opere civili della linea Brescia Est dalla progressiva 0+042 alla progressiva 5+200;</w:t>
      </w:r>
    </w:p>
    <w:p w:rsidR="00D54DC3" w:rsidRPr="00EE702F" w:rsidRDefault="00D54DC3" w:rsidP="00D54DC3">
      <w:pPr>
        <w:pStyle w:val="Paragrafoelenco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120" w:line="280" w:lineRule="exact"/>
        <w:textAlignment w:val="auto"/>
        <w:rPr>
          <w:rFonts w:ascii="Times New Roman" w:hAnsi="Times New Roman"/>
          <w:bCs w:val="0"/>
          <w:color w:val="000000"/>
          <w:szCs w:val="24"/>
          <w:u w:color="000000"/>
          <w:bdr w:val="nil"/>
          <w:lang w:eastAsia="en-US"/>
        </w:rPr>
      </w:pPr>
      <w:r w:rsidRPr="00EE702F">
        <w:rPr>
          <w:rFonts w:ascii="Times New Roman" w:hAnsi="Times New Roman"/>
          <w:bCs w:val="0"/>
          <w:color w:val="000000"/>
          <w:szCs w:val="24"/>
          <w:u w:color="000000"/>
          <w:bdr w:val="nil"/>
          <w:lang w:eastAsia="en-US"/>
        </w:rPr>
        <w:t>attività propedeutiche per l’inizio dei lavori delle opere civili di competenza del Lotto costruttivo: archeologia, bonifica bellica, demolizioni;</w:t>
      </w:r>
    </w:p>
    <w:p w:rsidR="00D54DC3" w:rsidRPr="00EE702F" w:rsidRDefault="00D54DC3" w:rsidP="00D54DC3">
      <w:pPr>
        <w:pStyle w:val="Paragrafoelenco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120" w:line="280" w:lineRule="exact"/>
        <w:textAlignment w:val="auto"/>
        <w:rPr>
          <w:rFonts w:ascii="Times New Roman" w:hAnsi="Times New Roman"/>
          <w:bCs w:val="0"/>
          <w:color w:val="000000"/>
          <w:szCs w:val="24"/>
          <w:u w:color="000000"/>
          <w:bdr w:val="nil"/>
          <w:lang w:eastAsia="en-US"/>
        </w:rPr>
      </w:pPr>
      <w:r w:rsidRPr="00EE702F">
        <w:rPr>
          <w:rFonts w:ascii="Times New Roman" w:hAnsi="Times New Roman"/>
          <w:bCs w:val="0"/>
          <w:color w:val="000000"/>
          <w:szCs w:val="24"/>
          <w:u w:color="000000"/>
          <w:bdr w:val="nil"/>
          <w:lang w:eastAsia="en-US"/>
        </w:rPr>
        <w:t>bonifica dei soli siti inquinati interferenti e/o contigui i lavori delle opere civili di competenza del Lotto costruttivo;</w:t>
      </w:r>
    </w:p>
    <w:p w:rsidR="00D54DC3" w:rsidRPr="00EE702F" w:rsidRDefault="00D54DC3" w:rsidP="00D54DC3">
      <w:pPr>
        <w:pStyle w:val="Paragrafoelenco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120" w:line="280" w:lineRule="exact"/>
        <w:textAlignment w:val="auto"/>
        <w:rPr>
          <w:rFonts w:ascii="Times New Roman" w:hAnsi="Times New Roman"/>
          <w:bCs w:val="0"/>
          <w:color w:val="000000"/>
          <w:szCs w:val="24"/>
          <w:u w:color="000000"/>
          <w:bdr w:val="nil"/>
          <w:lang w:eastAsia="en-US"/>
        </w:rPr>
      </w:pPr>
      <w:r w:rsidRPr="00EE702F">
        <w:rPr>
          <w:rFonts w:ascii="Times New Roman" w:hAnsi="Times New Roman"/>
          <w:bCs w:val="0"/>
          <w:color w:val="000000"/>
          <w:szCs w:val="24"/>
          <w:u w:color="000000"/>
          <w:bdr w:val="nil"/>
          <w:lang w:eastAsia="en-US"/>
        </w:rPr>
        <w:t>risoluzioni di tutte le interferenze con pubblici servizi interferenti con i lavori delle opere civili di competenza del Lotto costruttivo;</w:t>
      </w:r>
    </w:p>
    <w:p w:rsidR="00D54DC3" w:rsidRPr="00EE702F" w:rsidRDefault="00D54DC3" w:rsidP="00D54DC3">
      <w:pPr>
        <w:pStyle w:val="Paragrafoelenco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120" w:line="280" w:lineRule="exact"/>
        <w:textAlignment w:val="auto"/>
        <w:rPr>
          <w:rFonts w:ascii="Times New Roman" w:hAnsi="Times New Roman"/>
          <w:bCs w:val="0"/>
          <w:color w:val="000000"/>
          <w:szCs w:val="24"/>
          <w:u w:color="000000"/>
          <w:bdr w:val="nil"/>
          <w:lang w:eastAsia="en-US"/>
        </w:rPr>
      </w:pPr>
      <w:r w:rsidRPr="00EE702F">
        <w:rPr>
          <w:rFonts w:ascii="Times New Roman" w:hAnsi="Times New Roman"/>
          <w:bCs w:val="0"/>
          <w:color w:val="000000"/>
          <w:szCs w:val="24"/>
          <w:u w:color="000000"/>
          <w:bdr w:val="nil"/>
          <w:lang w:eastAsia="en-US"/>
        </w:rPr>
        <w:t>monitoraggio ambientale per l’esecuzione dei lavori delle opere civili di competenza del Lotto costruttivo;</w:t>
      </w:r>
    </w:p>
    <w:p w:rsidR="00D54DC3" w:rsidRPr="00EE702F" w:rsidRDefault="00D54DC3" w:rsidP="00D54DC3">
      <w:pPr>
        <w:pStyle w:val="Paragrafoelenco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120" w:line="280" w:lineRule="exact"/>
        <w:textAlignment w:val="auto"/>
        <w:rPr>
          <w:rFonts w:ascii="Times New Roman" w:hAnsi="Times New Roman"/>
          <w:bCs w:val="0"/>
          <w:color w:val="000000"/>
          <w:szCs w:val="24"/>
          <w:u w:color="000000"/>
          <w:bdr w:val="nil"/>
          <w:lang w:eastAsia="en-US"/>
        </w:rPr>
      </w:pPr>
      <w:r w:rsidRPr="00EE702F">
        <w:rPr>
          <w:rFonts w:ascii="Times New Roman" w:hAnsi="Times New Roman"/>
          <w:bCs w:val="0"/>
          <w:color w:val="000000"/>
          <w:szCs w:val="24"/>
          <w:u w:color="000000"/>
          <w:bdr w:val="nil"/>
          <w:lang w:eastAsia="en-US"/>
        </w:rPr>
        <w:t>espropri necessari per l’esecuzione dei lavori delle opere civili di competenza del Lotto costruttivo;</w:t>
      </w:r>
    </w:p>
    <w:p w:rsidR="00D54DC3" w:rsidRPr="00EE702F" w:rsidRDefault="00D54DC3" w:rsidP="00D54DC3">
      <w:pPr>
        <w:pStyle w:val="Paragrafoelenco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120" w:line="280" w:lineRule="exact"/>
        <w:textAlignment w:val="auto"/>
        <w:rPr>
          <w:rFonts w:ascii="Times New Roman" w:hAnsi="Times New Roman"/>
          <w:bCs w:val="0"/>
          <w:color w:val="000000"/>
          <w:szCs w:val="24"/>
          <w:u w:color="000000"/>
          <w:bdr w:val="nil"/>
          <w:lang w:eastAsia="en-US"/>
        </w:rPr>
      </w:pPr>
      <w:r w:rsidRPr="00EE702F">
        <w:rPr>
          <w:rFonts w:ascii="Times New Roman" w:hAnsi="Times New Roman"/>
          <w:bCs w:val="0"/>
          <w:color w:val="000000"/>
          <w:szCs w:val="24"/>
          <w:u w:color="000000"/>
          <w:bdr w:val="nil"/>
          <w:lang w:eastAsia="en-US"/>
        </w:rPr>
        <w:t>risoluzione delle interferenze con la linea storica;</w:t>
      </w:r>
    </w:p>
    <w:p w:rsidR="00D54DC3" w:rsidRPr="00EE702F" w:rsidRDefault="00D54DC3" w:rsidP="00D54DC3">
      <w:pPr>
        <w:pStyle w:val="Paragrafoelenco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120" w:line="280" w:lineRule="exact"/>
        <w:textAlignment w:val="auto"/>
        <w:rPr>
          <w:rFonts w:ascii="Times New Roman" w:hAnsi="Times New Roman"/>
          <w:bCs w:val="0"/>
          <w:color w:val="000000"/>
          <w:szCs w:val="24"/>
          <w:u w:color="000000"/>
          <w:bdr w:val="nil"/>
          <w:lang w:eastAsia="en-US"/>
        </w:rPr>
      </w:pPr>
      <w:r w:rsidRPr="00EE702F">
        <w:rPr>
          <w:rFonts w:ascii="Times New Roman" w:hAnsi="Times New Roman"/>
          <w:bCs w:val="0"/>
          <w:color w:val="000000"/>
          <w:szCs w:val="24"/>
          <w:u w:color="000000"/>
          <w:bdr w:val="nil"/>
          <w:lang w:eastAsia="en-US"/>
        </w:rPr>
        <w:t>bivio Verona Ovest di innesto sulla linea storica Milano-Venezia (Km 141+671 della linea storica), a</w:t>
      </w:r>
      <w:r w:rsidRPr="00BF46EE">
        <w:rPr>
          <w:rFonts w:ascii="Times New Roman" w:hAnsi="Times New Roman"/>
          <w:bCs w:val="0"/>
          <w:color w:val="000000"/>
          <w:szCs w:val="24"/>
          <w:u w:color="000000"/>
          <w:bdr w:val="nil"/>
          <w:lang w:eastAsia="en-US"/>
        </w:rPr>
        <w:t>l fine di assicurare la funzionalità del Lotto Brescia Est-Verona -;</w:t>
      </w:r>
    </w:p>
    <w:p w:rsidR="00D54DC3" w:rsidRPr="00EE702F" w:rsidRDefault="00D54DC3" w:rsidP="00D54DC3">
      <w:pPr>
        <w:pStyle w:val="Paragrafoelenco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120" w:line="280" w:lineRule="exact"/>
        <w:textAlignment w:val="auto"/>
        <w:rPr>
          <w:rFonts w:ascii="Times New Roman" w:hAnsi="Times New Roman"/>
          <w:bCs w:val="0"/>
          <w:color w:val="000000"/>
          <w:szCs w:val="24"/>
          <w:u w:color="000000"/>
          <w:bdr w:val="nil"/>
          <w:lang w:eastAsia="en-US"/>
        </w:rPr>
      </w:pPr>
      <w:r w:rsidRPr="00EE702F">
        <w:rPr>
          <w:rFonts w:ascii="Times New Roman" w:hAnsi="Times New Roman"/>
          <w:bCs w:val="0"/>
          <w:color w:val="000000"/>
          <w:szCs w:val="24"/>
          <w:u w:color="000000"/>
          <w:bdr w:val="nil"/>
          <w:lang w:eastAsia="en-US"/>
        </w:rPr>
        <w:t>bivio Rezzato di innesto della linea Brescia Est sulla linea storica Milano-Venezia (tra il Km 94+048 e il Km 94+590 della linea storica);</w:t>
      </w:r>
    </w:p>
    <w:p w:rsidR="00D54DC3" w:rsidRPr="00EE702F" w:rsidRDefault="00D54DC3" w:rsidP="00D54DC3">
      <w:pPr>
        <w:pStyle w:val="Paragrafoelenco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120" w:line="280" w:lineRule="exact"/>
        <w:textAlignment w:val="auto"/>
        <w:rPr>
          <w:rFonts w:ascii="Times New Roman" w:hAnsi="Times New Roman"/>
          <w:bCs w:val="0"/>
          <w:color w:val="000000"/>
          <w:szCs w:val="24"/>
          <w:u w:color="000000"/>
          <w:bdr w:val="nil"/>
          <w:lang w:eastAsia="en-US"/>
        </w:rPr>
      </w:pPr>
      <w:r w:rsidRPr="00EE702F">
        <w:rPr>
          <w:rFonts w:ascii="Times New Roman" w:hAnsi="Times New Roman"/>
          <w:bCs w:val="0"/>
          <w:color w:val="000000"/>
          <w:szCs w:val="24"/>
          <w:u w:color="000000"/>
          <w:bdr w:val="nil"/>
          <w:lang w:eastAsia="en-US"/>
        </w:rPr>
        <w:t>completamento degli interventi di mitigazioni acustica relativi al Lotto Funzionale “Brescia Est-Verona” ;</w:t>
      </w:r>
    </w:p>
    <w:p w:rsidR="00D54DC3" w:rsidRPr="00EE702F" w:rsidRDefault="00D54DC3" w:rsidP="00D54DC3">
      <w:pPr>
        <w:pStyle w:val="Paragrafoelenco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120" w:line="280" w:lineRule="exact"/>
        <w:textAlignment w:val="auto"/>
        <w:rPr>
          <w:rFonts w:ascii="Times New Roman" w:hAnsi="Times New Roman"/>
          <w:bCs w:val="0"/>
          <w:color w:val="000000"/>
          <w:szCs w:val="24"/>
          <w:u w:color="000000"/>
          <w:bdr w:val="nil"/>
          <w:lang w:eastAsia="en-US"/>
        </w:rPr>
      </w:pPr>
      <w:r w:rsidRPr="00EE702F">
        <w:rPr>
          <w:rFonts w:ascii="Times New Roman" w:hAnsi="Times New Roman"/>
          <w:bCs w:val="0"/>
          <w:color w:val="000000"/>
          <w:szCs w:val="24"/>
          <w:u w:color="000000"/>
          <w:bdr w:val="nil"/>
          <w:lang w:eastAsia="en-US"/>
        </w:rPr>
        <w:lastRenderedPageBreak/>
        <w:t>tutti i lavori di Sovrastruttura Ferroviaria necessari all’attivazione del Lotto Funzionale “Brescia Est- Verona”;</w:t>
      </w:r>
    </w:p>
    <w:p w:rsidR="00D54DC3" w:rsidRPr="00EE702F" w:rsidRDefault="00D54DC3" w:rsidP="00D54DC3">
      <w:pPr>
        <w:pStyle w:val="Paragrafoelenco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120" w:line="280" w:lineRule="exact"/>
        <w:textAlignment w:val="auto"/>
        <w:rPr>
          <w:rFonts w:ascii="Times New Roman" w:hAnsi="Times New Roman"/>
          <w:bCs w:val="0"/>
          <w:color w:val="000000"/>
          <w:szCs w:val="24"/>
          <w:u w:color="000000"/>
          <w:bdr w:val="nil"/>
          <w:lang w:eastAsia="en-US"/>
        </w:rPr>
      </w:pPr>
      <w:r w:rsidRPr="00EE702F">
        <w:rPr>
          <w:rFonts w:ascii="Times New Roman" w:hAnsi="Times New Roman"/>
          <w:bCs w:val="0"/>
          <w:color w:val="000000"/>
          <w:szCs w:val="24"/>
          <w:u w:color="000000"/>
          <w:bdr w:val="nil"/>
          <w:lang w:eastAsia="en-US"/>
        </w:rPr>
        <w:t xml:space="preserve">la totalità delle attività degli Impianti Tecnologici, incluse le attività inerenti l’elettrodotto, per quanto necessario all’attivazione del Lotto Funzionale “Brescia Est- Verona”; </w:t>
      </w:r>
    </w:p>
    <w:p w:rsidR="00D54DC3" w:rsidRDefault="00D54DC3" w:rsidP="00D54DC3">
      <w:pPr>
        <w:pStyle w:val="Paragrafoelenco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120" w:line="280" w:lineRule="exact"/>
        <w:textAlignment w:val="auto"/>
        <w:rPr>
          <w:rFonts w:ascii="Times New Roman" w:hAnsi="Times New Roman"/>
          <w:bCs w:val="0"/>
          <w:color w:val="000000"/>
          <w:szCs w:val="24"/>
          <w:u w:color="000000"/>
          <w:bdr w:val="nil"/>
          <w:lang w:eastAsia="en-US"/>
        </w:rPr>
      </w:pPr>
      <w:r w:rsidRPr="00EE702F">
        <w:rPr>
          <w:rFonts w:ascii="Times New Roman" w:hAnsi="Times New Roman"/>
          <w:bCs w:val="0"/>
          <w:color w:val="000000"/>
          <w:szCs w:val="24"/>
          <w:u w:color="000000"/>
          <w:bdr w:val="nil"/>
          <w:lang w:eastAsia="en-US"/>
        </w:rPr>
        <w:t>opere di cantierizzazione necessarie all’esecuzione dei lavori.</w:t>
      </w:r>
    </w:p>
    <w:p w:rsidR="00D54DC3" w:rsidRPr="00EE702F" w:rsidRDefault="00D54DC3" w:rsidP="00D54DC3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66"/>
        </w:tabs>
        <w:outlineLvl w:val="2"/>
        <w:rPr>
          <w:rFonts w:ascii="Times New Roman" w:eastAsia="Arial Unicode MS" w:hAnsi="Times New Roman"/>
          <w:bCs/>
          <w:i/>
          <w:iCs/>
          <w:smallCaps/>
          <w:color w:val="000000"/>
          <w:sz w:val="8"/>
          <w:szCs w:val="8"/>
          <w:u w:val="single" w:color="000000"/>
          <w:bdr w:val="nil"/>
        </w:rPr>
      </w:pPr>
    </w:p>
    <w:p w:rsidR="00D54DC3" w:rsidRPr="00EE702F" w:rsidRDefault="00D54DC3" w:rsidP="00D54DC3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80" w:lineRule="exact"/>
        <w:ind w:left="357"/>
        <w:outlineLvl w:val="2"/>
        <w:rPr>
          <w:rFonts w:ascii="Times New Roman" w:eastAsia="Garamond" w:hAnsi="Times New Roman"/>
          <w:bCs/>
          <w:i/>
          <w:iCs/>
          <w:smallCaps/>
          <w:color w:val="000000"/>
          <w:u w:val="single" w:color="000000"/>
          <w:bdr w:val="nil"/>
        </w:rPr>
      </w:pPr>
      <w:r w:rsidRPr="00EE702F">
        <w:rPr>
          <w:rFonts w:ascii="Times New Roman" w:eastAsia="Arial Unicode MS" w:hAnsi="Times New Roman"/>
          <w:i/>
          <w:iCs/>
          <w:smallCaps/>
          <w:color w:val="000000"/>
          <w:u w:val="single" w:color="000000"/>
          <w:bdr w:val="nil"/>
        </w:rPr>
        <w:t>Altri oneri gestiti direttamente da RFI</w:t>
      </w:r>
    </w:p>
    <w:p w:rsidR="00D54DC3" w:rsidRPr="00EE702F" w:rsidRDefault="00D54DC3" w:rsidP="00D54DC3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80" w:lineRule="exact"/>
        <w:ind w:firstLine="357"/>
        <w:rPr>
          <w:rFonts w:ascii="Times New Roman" w:eastAsia="Garamond" w:hAnsi="Times New Roman"/>
          <w:bCs/>
          <w:color w:val="000000"/>
          <w:u w:color="000000"/>
          <w:bdr w:val="nil"/>
          <w:lang w:eastAsia="en-US"/>
        </w:rPr>
      </w:pPr>
      <w:r w:rsidRPr="00EE702F">
        <w:rPr>
          <w:rFonts w:ascii="Times New Roman" w:hAnsi="Times New Roman"/>
          <w:color w:val="000000"/>
          <w:u w:color="000000"/>
          <w:bdr w:val="nil"/>
          <w:lang w:eastAsia="en-US"/>
        </w:rPr>
        <w:t>Sono inoltre state previste le seguenti voci di costo, che saranno gestite direttamente da RFI:</w:t>
      </w:r>
    </w:p>
    <w:p w:rsidR="00D54DC3" w:rsidRPr="00EE702F" w:rsidRDefault="00D54DC3" w:rsidP="00D54DC3">
      <w:pPr>
        <w:pStyle w:val="Paragrafoelenco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120" w:line="280" w:lineRule="exact"/>
        <w:textAlignment w:val="auto"/>
        <w:rPr>
          <w:rFonts w:ascii="Times New Roman" w:hAnsi="Times New Roman"/>
          <w:bCs w:val="0"/>
          <w:color w:val="000000"/>
          <w:szCs w:val="24"/>
          <w:u w:color="000000"/>
          <w:bdr w:val="nil"/>
          <w:lang w:eastAsia="en-US"/>
        </w:rPr>
      </w:pPr>
      <w:r w:rsidRPr="00EE702F">
        <w:rPr>
          <w:rFonts w:ascii="Times New Roman" w:hAnsi="Times New Roman"/>
          <w:bCs w:val="0"/>
          <w:color w:val="000000"/>
          <w:szCs w:val="24"/>
          <w:u w:color="000000"/>
          <w:bdr w:val="nil"/>
          <w:lang w:eastAsia="en-US"/>
        </w:rPr>
        <w:t>oneri di ingegneria, collaudi e costi di struttura commisurati alle attività di competenza del Lotto;</w:t>
      </w:r>
    </w:p>
    <w:p w:rsidR="00D54DC3" w:rsidRPr="00EE702F" w:rsidRDefault="00D54DC3" w:rsidP="00D54DC3">
      <w:pPr>
        <w:pStyle w:val="Paragrafoelenco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120" w:line="280" w:lineRule="exact"/>
        <w:textAlignment w:val="auto"/>
        <w:rPr>
          <w:rFonts w:ascii="Times New Roman" w:hAnsi="Times New Roman"/>
          <w:bCs w:val="0"/>
          <w:color w:val="000000"/>
          <w:szCs w:val="24"/>
          <w:u w:color="000000"/>
          <w:bdr w:val="nil"/>
          <w:lang w:eastAsia="en-US"/>
        </w:rPr>
      </w:pPr>
      <w:r w:rsidRPr="00EE702F">
        <w:rPr>
          <w:rFonts w:ascii="Times New Roman" w:hAnsi="Times New Roman"/>
          <w:bCs w:val="0"/>
          <w:color w:val="000000"/>
          <w:szCs w:val="24"/>
          <w:u w:color="000000"/>
          <w:bdr w:val="nil"/>
          <w:lang w:eastAsia="en-US"/>
        </w:rPr>
        <w:t>imprevisti commisurati alle attività di competenza del Lotto;</w:t>
      </w:r>
    </w:p>
    <w:p w:rsidR="00D54DC3" w:rsidRPr="00BF46EE" w:rsidRDefault="00D54DC3" w:rsidP="00D54DC3">
      <w:pPr>
        <w:pStyle w:val="Paragrafoelenco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120" w:line="280" w:lineRule="exact"/>
        <w:textAlignment w:val="auto"/>
        <w:rPr>
          <w:rFonts w:ascii="Times New Roman" w:hAnsi="Times New Roman"/>
          <w:bCs w:val="0"/>
          <w:color w:val="000000"/>
          <w:szCs w:val="24"/>
          <w:u w:color="000000"/>
          <w:bdr w:val="nil"/>
          <w:lang w:eastAsia="en-US"/>
        </w:rPr>
      </w:pPr>
      <w:r w:rsidRPr="00EE702F">
        <w:rPr>
          <w:rFonts w:ascii="Times New Roman" w:hAnsi="Times New Roman"/>
          <w:bCs w:val="0"/>
          <w:color w:val="000000"/>
          <w:szCs w:val="24"/>
          <w:u w:color="000000"/>
          <w:bdr w:val="nil"/>
          <w:lang w:eastAsia="en-US"/>
        </w:rPr>
        <w:t>prove di esercizio.</w:t>
      </w:r>
    </w:p>
    <w:p w:rsidR="007B15F6" w:rsidRPr="00D54DC3" w:rsidRDefault="007B15F6" w:rsidP="007B15F6">
      <w:pPr>
        <w:jc w:val="left"/>
        <w:rPr>
          <w:sz w:val="22"/>
          <w:szCs w:val="22"/>
        </w:rPr>
      </w:pPr>
    </w:p>
    <w:p w:rsidR="007B15F6" w:rsidRPr="00D54DC3" w:rsidRDefault="007B15F6" w:rsidP="007B15F6">
      <w:pPr>
        <w:jc w:val="left"/>
        <w:rPr>
          <w:sz w:val="22"/>
          <w:szCs w:val="22"/>
        </w:rPr>
      </w:pPr>
    </w:p>
    <w:sectPr w:rsidR="007B15F6" w:rsidRPr="00D54DC3" w:rsidSect="0043478E">
      <w:pgSz w:w="11906" w:h="16838"/>
      <w:pgMar w:top="3856" w:right="1701" w:bottom="170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2103C"/>
    <w:multiLevelType w:val="hybridMultilevel"/>
    <w:tmpl w:val="1F22E6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5F6"/>
    <w:rsid w:val="002419B3"/>
    <w:rsid w:val="003536AB"/>
    <w:rsid w:val="0040174A"/>
    <w:rsid w:val="0043478E"/>
    <w:rsid w:val="0064188B"/>
    <w:rsid w:val="007B15F6"/>
    <w:rsid w:val="00D11FB6"/>
    <w:rsid w:val="00D54DC3"/>
    <w:rsid w:val="00D551BD"/>
    <w:rsid w:val="00DB4BDF"/>
    <w:rsid w:val="00F7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15F6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D54DC3"/>
    <w:pPr>
      <w:keepNext/>
      <w:tabs>
        <w:tab w:val="left" w:pos="1134"/>
      </w:tabs>
      <w:suppressAutoHyphens/>
      <w:spacing w:before="240"/>
      <w:outlineLvl w:val="1"/>
    </w:pPr>
    <w:rPr>
      <w:rFonts w:eastAsia="Batang"/>
      <w:b/>
      <w:caps/>
      <w:szCs w:val="20"/>
      <w:lang w:val="x-none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5F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5F6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D54DC3"/>
    <w:rPr>
      <w:rFonts w:ascii="Arial" w:eastAsia="Batang" w:hAnsi="Arial" w:cs="Times New Roman"/>
      <w:b/>
      <w:caps/>
      <w:sz w:val="24"/>
      <w:szCs w:val="20"/>
      <w:lang w:val="x-none" w:eastAsia="ar-SA"/>
    </w:rPr>
  </w:style>
  <w:style w:type="paragraph" w:styleId="Paragrafoelenco">
    <w:name w:val="List Paragraph"/>
    <w:basedOn w:val="Normale"/>
    <w:link w:val="ParagrafoelencoCarattere"/>
    <w:uiPriority w:val="34"/>
    <w:qFormat/>
    <w:rsid w:val="00D54DC3"/>
    <w:pPr>
      <w:widowControl w:val="0"/>
      <w:suppressAutoHyphens/>
      <w:spacing w:line="360" w:lineRule="atLeast"/>
      <w:ind w:left="708"/>
      <w:textAlignment w:val="baseline"/>
    </w:pPr>
    <w:rPr>
      <w:bCs/>
      <w:szCs w:val="20"/>
      <w:lang w:val="x-none" w:eastAsia="ar-SA"/>
    </w:rPr>
  </w:style>
  <w:style w:type="character" w:customStyle="1" w:styleId="ParagrafoelencoCarattere">
    <w:name w:val="Paragrafo elenco Carattere"/>
    <w:link w:val="Paragrafoelenco"/>
    <w:uiPriority w:val="34"/>
    <w:locked/>
    <w:rsid w:val="00D54DC3"/>
    <w:rPr>
      <w:rFonts w:ascii="Arial" w:eastAsia="Times New Roman" w:hAnsi="Arial" w:cs="Times New Roman"/>
      <w:bCs/>
      <w:sz w:val="24"/>
      <w:szCs w:val="20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15F6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D54DC3"/>
    <w:pPr>
      <w:keepNext/>
      <w:tabs>
        <w:tab w:val="left" w:pos="1134"/>
      </w:tabs>
      <w:suppressAutoHyphens/>
      <w:spacing w:before="240"/>
      <w:outlineLvl w:val="1"/>
    </w:pPr>
    <w:rPr>
      <w:rFonts w:eastAsia="Batang"/>
      <w:b/>
      <w:caps/>
      <w:szCs w:val="20"/>
      <w:lang w:val="x-none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5F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5F6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D54DC3"/>
    <w:rPr>
      <w:rFonts w:ascii="Arial" w:eastAsia="Batang" w:hAnsi="Arial" w:cs="Times New Roman"/>
      <w:b/>
      <w:caps/>
      <w:sz w:val="24"/>
      <w:szCs w:val="20"/>
      <w:lang w:val="x-none" w:eastAsia="ar-SA"/>
    </w:rPr>
  </w:style>
  <w:style w:type="paragraph" w:styleId="Paragrafoelenco">
    <w:name w:val="List Paragraph"/>
    <w:basedOn w:val="Normale"/>
    <w:link w:val="ParagrafoelencoCarattere"/>
    <w:uiPriority w:val="34"/>
    <w:qFormat/>
    <w:rsid w:val="00D54DC3"/>
    <w:pPr>
      <w:widowControl w:val="0"/>
      <w:suppressAutoHyphens/>
      <w:spacing w:line="360" w:lineRule="atLeast"/>
      <w:ind w:left="708"/>
      <w:textAlignment w:val="baseline"/>
    </w:pPr>
    <w:rPr>
      <w:bCs/>
      <w:szCs w:val="20"/>
      <w:lang w:val="x-none" w:eastAsia="ar-SA"/>
    </w:rPr>
  </w:style>
  <w:style w:type="character" w:customStyle="1" w:styleId="ParagrafoelencoCarattere">
    <w:name w:val="Paragrafo elenco Carattere"/>
    <w:link w:val="Paragrafoelenco"/>
    <w:uiPriority w:val="34"/>
    <w:locked/>
    <w:rsid w:val="00D54DC3"/>
    <w:rPr>
      <w:rFonts w:ascii="Arial" w:eastAsia="Times New Roman" w:hAnsi="Arial" w:cs="Times New Roman"/>
      <w:bCs/>
      <w:sz w:val="24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Ardigò Roberto</dc:creator>
  <cp:lastModifiedBy>Quaranta Serenella</cp:lastModifiedBy>
  <cp:revision>2</cp:revision>
  <dcterms:created xsi:type="dcterms:W3CDTF">2020-02-28T11:12:00Z</dcterms:created>
  <dcterms:modified xsi:type="dcterms:W3CDTF">2020-02-28T11:12:00Z</dcterms:modified>
</cp:coreProperties>
</file>