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BF5" w:rsidRPr="00480B88" w:rsidRDefault="00D57BF5" w:rsidP="00C070DD">
      <w:pPr>
        <w:keepNext/>
        <w:spacing w:before="60" w:after="60" w:line="240" w:lineRule="auto"/>
        <w:jc w:val="center"/>
        <w:outlineLvl w:val="0"/>
        <w:rPr>
          <w:rFonts w:ascii="Arial" w:hAnsi="Arial"/>
          <w:kern w:val="28"/>
          <w:szCs w:val="20"/>
        </w:rPr>
      </w:pPr>
      <w:bookmarkStart w:id="0" w:name="_GoBack"/>
      <w:bookmarkEnd w:id="0"/>
      <w:r w:rsidRPr="00480B88">
        <w:rPr>
          <w:rFonts w:ascii="Arial" w:hAnsi="Arial"/>
          <w:kern w:val="28"/>
          <w:szCs w:val="20"/>
        </w:rPr>
        <w:t>INTERVENTI NEL SETTORE DEI SISTEMI DI TRASPORTO RAPIDO DI MASSA</w:t>
      </w:r>
    </w:p>
    <w:p w:rsidR="00D57BF5" w:rsidRPr="00480B88" w:rsidRDefault="00D57BF5" w:rsidP="00C070DD">
      <w:pPr>
        <w:keepNext/>
        <w:spacing w:before="60" w:after="60" w:line="240" w:lineRule="auto"/>
        <w:jc w:val="center"/>
        <w:outlineLvl w:val="0"/>
        <w:rPr>
          <w:rFonts w:ascii="Arial" w:hAnsi="Arial"/>
          <w:caps/>
          <w:kern w:val="28"/>
          <w:szCs w:val="20"/>
        </w:rPr>
      </w:pPr>
      <w:r w:rsidRPr="00480B88">
        <w:rPr>
          <w:rFonts w:ascii="Arial" w:hAnsi="Arial"/>
          <w:caps/>
          <w:kern w:val="28"/>
          <w:szCs w:val="20"/>
        </w:rPr>
        <w:t>sistema di trasporto pubblico a capacità intermedia a servizio dei corridoi Eur-Tor de’ Cenci ed Eur-Tor Pagnotta</w:t>
      </w:r>
    </w:p>
    <w:p w:rsidR="00D57BF5" w:rsidRPr="00057118" w:rsidRDefault="00D57BF5" w:rsidP="00C070DD">
      <w:pPr>
        <w:spacing w:line="240" w:lineRule="auto"/>
        <w:jc w:val="center"/>
        <w:rPr>
          <w:rFonts w:ascii="Arial" w:hAnsi="Arial" w:cs="Arial"/>
        </w:rPr>
      </w:pPr>
      <w:r w:rsidRPr="00057118">
        <w:rPr>
          <w:rFonts w:ascii="Arial" w:hAnsi="Arial"/>
          <w:kern w:val="28"/>
          <w:szCs w:val="20"/>
        </w:rPr>
        <w:t>AUTORIZZAZIONE ALL’UTILIZZO DEI RIBASSI DI GARA E DELLE ECONOMIE E RIDETERMINAZIONE CONTRIBUTO STATALE</w:t>
      </w:r>
    </w:p>
    <w:p w:rsidR="00D57BF5" w:rsidRPr="00103039" w:rsidRDefault="00D57BF5" w:rsidP="00DB14B4">
      <w:pPr>
        <w:pStyle w:val="Titolo2"/>
        <w:spacing w:before="480" w:after="360"/>
        <w:rPr>
          <w:rFonts w:ascii="Arial" w:eastAsia="Arial Unicode MS" w:hAnsi="Arial" w:cs="Arial"/>
          <w:b w:val="0"/>
          <w:spacing w:val="80"/>
          <w:szCs w:val="28"/>
        </w:rPr>
      </w:pPr>
      <w:r w:rsidRPr="00103039">
        <w:rPr>
          <w:rFonts w:ascii="Arial" w:eastAsia="Arial Unicode MS" w:hAnsi="Arial" w:cs="Arial"/>
          <w:b w:val="0"/>
          <w:spacing w:val="80"/>
          <w:szCs w:val="28"/>
        </w:rPr>
        <w:t>IL CIPE</w:t>
      </w:r>
    </w:p>
    <w:p w:rsidR="00D57BF5" w:rsidRPr="00103039" w:rsidRDefault="00D57BF5" w:rsidP="00C070DD">
      <w:pPr>
        <w:autoSpaceDE w:val="0"/>
        <w:autoSpaceDN w:val="0"/>
        <w:adjustRightInd w:val="0"/>
        <w:spacing w:after="120" w:line="240" w:lineRule="auto"/>
        <w:jc w:val="both"/>
        <w:rPr>
          <w:rFonts w:ascii="Arial" w:hAnsi="Arial" w:cs="Arial"/>
          <w:spacing w:val="-2"/>
          <w:szCs w:val="20"/>
        </w:rPr>
      </w:pPr>
      <w:r w:rsidRPr="00103039">
        <w:rPr>
          <w:rFonts w:ascii="Arial" w:hAnsi="Arial" w:cs="Arial"/>
          <w:b/>
          <w:spacing w:val="-2"/>
          <w:szCs w:val="20"/>
        </w:rPr>
        <w:t xml:space="preserve">VISTA </w:t>
      </w:r>
      <w:r w:rsidRPr="00103039">
        <w:rPr>
          <w:rFonts w:ascii="Arial" w:hAnsi="Arial" w:cs="Arial"/>
          <w:spacing w:val="-2"/>
          <w:szCs w:val="20"/>
        </w:rPr>
        <w:t>la legge 27 febbraio 1967, n. 48, recante “Attribuzioni e ordinamento del Ministero del bilancio e della programmazione economica e istituzione del Comitato dei Ministri per la programmazione economica” e visto, in particolare, l'articolo 16, concernente l’istituzione e le attribuzioni del Comitato Interministeriale per la Programmazione Economica (CIPE), nonché le successive disposizioni legislative relative alla composizione dello stesso Comitato;</w:t>
      </w:r>
    </w:p>
    <w:p w:rsidR="00D57BF5" w:rsidRPr="00644E59" w:rsidRDefault="00D57BF5" w:rsidP="00C070DD">
      <w:pPr>
        <w:spacing w:before="120" w:after="120" w:line="240" w:lineRule="auto"/>
        <w:jc w:val="both"/>
        <w:rPr>
          <w:rFonts w:ascii="Arial" w:hAnsi="Arial" w:cs="Arial"/>
        </w:rPr>
      </w:pPr>
      <w:r w:rsidRPr="00644E59">
        <w:rPr>
          <w:rFonts w:ascii="Arial" w:hAnsi="Arial" w:cs="Arial"/>
          <w:b/>
        </w:rPr>
        <w:t>VISTA</w:t>
      </w:r>
      <w:r w:rsidRPr="00644E59">
        <w:rPr>
          <w:rFonts w:ascii="Arial" w:hAnsi="Arial" w:cs="Arial"/>
        </w:rPr>
        <w:t xml:space="preserve"> la legge 23 agosto 1988, n. 400, e successive modificazioni, concernente “Disciplina dell’attività di Governo e ordinamento della Presidenza del Consiglio dei Ministri”;</w:t>
      </w:r>
    </w:p>
    <w:p w:rsidR="00D57BF5" w:rsidRPr="00644E59" w:rsidRDefault="00D57BF5" w:rsidP="00C070DD">
      <w:pPr>
        <w:spacing w:before="120" w:after="120" w:line="240" w:lineRule="auto"/>
        <w:jc w:val="both"/>
        <w:rPr>
          <w:rFonts w:ascii="Calibri" w:eastAsia="Calibri" w:hAnsi="Calibri"/>
        </w:rPr>
      </w:pPr>
      <w:r w:rsidRPr="00644E59">
        <w:rPr>
          <w:rFonts w:ascii="Arial" w:hAnsi="Arial" w:cs="Arial"/>
          <w:b/>
        </w:rPr>
        <w:t>VISTA</w:t>
      </w:r>
      <w:r w:rsidRPr="00644E59">
        <w:rPr>
          <w:rFonts w:ascii="Arial" w:hAnsi="Arial" w:cs="Arial"/>
        </w:rPr>
        <w:t xml:space="preserve"> la legge 7 agosto 1990, n. 241, e successive modificazioni, concernente “Nuove norme in materia di procedimento amministrativo e di diritto di accesso ai documenti amministrativi”;</w:t>
      </w:r>
      <w:r w:rsidRPr="00644E59">
        <w:rPr>
          <w:rFonts w:ascii="Calibri" w:eastAsia="Calibri" w:hAnsi="Calibri"/>
        </w:rPr>
        <w:t xml:space="preserve"> </w:t>
      </w:r>
    </w:p>
    <w:p w:rsidR="00D57BF5" w:rsidRDefault="00D57BF5" w:rsidP="00C070DD">
      <w:pPr>
        <w:autoSpaceDE w:val="0"/>
        <w:autoSpaceDN w:val="0"/>
        <w:adjustRightInd w:val="0"/>
        <w:spacing w:before="120" w:after="120" w:line="240" w:lineRule="auto"/>
        <w:jc w:val="both"/>
        <w:rPr>
          <w:rFonts w:ascii="Arial" w:hAnsi="Arial" w:cs="Arial"/>
        </w:rPr>
      </w:pPr>
      <w:r w:rsidRPr="00103039">
        <w:rPr>
          <w:rFonts w:ascii="Arial" w:hAnsi="Arial" w:cs="Arial"/>
          <w:b/>
        </w:rPr>
        <w:t>VISTA</w:t>
      </w:r>
      <w:r w:rsidRPr="00103039">
        <w:rPr>
          <w:rFonts w:ascii="Arial" w:hAnsi="Arial" w:cs="Arial"/>
        </w:rPr>
        <w:t xml:space="preserve"> la legge </w:t>
      </w:r>
      <w:smartTag w:uri="urn:schemas-microsoft-com:office:smarttags" w:element="date">
        <w:smartTagPr>
          <w:attr w:name="Year" w:val="1992"/>
          <w:attr w:name="Day" w:val="26"/>
          <w:attr w:name="Month" w:val="2"/>
          <w:attr w:name="ls" w:val="trans"/>
        </w:smartTagPr>
        <w:r w:rsidRPr="00103039">
          <w:rPr>
            <w:rFonts w:ascii="Arial" w:hAnsi="Arial" w:cs="Arial"/>
          </w:rPr>
          <w:t>26 febbraio 1992</w:t>
        </w:r>
      </w:smartTag>
      <w:r w:rsidRPr="00103039">
        <w:rPr>
          <w:rFonts w:ascii="Arial" w:hAnsi="Arial" w:cs="Arial"/>
        </w:rPr>
        <w:t xml:space="preserve">, n. 211, </w:t>
      </w:r>
      <w:r w:rsidRPr="001454E7">
        <w:rPr>
          <w:rFonts w:ascii="Arial" w:hAnsi="Arial" w:cs="Arial"/>
        </w:rPr>
        <w:t>e successive modificazioni</w:t>
      </w:r>
      <w:r w:rsidRPr="008A4CE8">
        <w:rPr>
          <w:rFonts w:ascii="Arial" w:hAnsi="Arial" w:cs="Arial"/>
        </w:rPr>
        <w:t xml:space="preserve">, e, in particolare, l’articolo 5, che </w:t>
      </w:r>
      <w:r>
        <w:rPr>
          <w:rFonts w:ascii="Arial" w:hAnsi="Arial" w:cs="Arial"/>
        </w:rPr>
        <w:t xml:space="preserve">ha </w:t>
      </w:r>
      <w:r w:rsidRPr="008A4CE8">
        <w:rPr>
          <w:rFonts w:ascii="Arial" w:hAnsi="Arial" w:cs="Arial"/>
        </w:rPr>
        <w:t>prev</w:t>
      </w:r>
      <w:r>
        <w:rPr>
          <w:rFonts w:ascii="Arial" w:hAnsi="Arial" w:cs="Arial"/>
        </w:rPr>
        <w:t>isto</w:t>
      </w:r>
      <w:r w:rsidRPr="008A4CE8">
        <w:rPr>
          <w:rFonts w:ascii="Arial" w:hAnsi="Arial" w:cs="Arial"/>
        </w:rPr>
        <w:t xml:space="preserve"> che i programmi di interventi di trasporto rapido di massa siano sottoposti al Comitato interministeriale per la programmazione economica nel trasporto (CIPET) per l'approvazione nonché per l'individuazione delle eventuali fonti di finanziamento a carico dello Stato e per la determinazione delle quote delle disponibilità dei contributi di cui al successivo articolo 9, senza prevedere l’approvazione dei singoli progetti</w:t>
      </w:r>
      <w:r>
        <w:rPr>
          <w:rFonts w:ascii="Arial" w:hAnsi="Arial" w:cs="Arial"/>
        </w:rPr>
        <w:t>;</w:t>
      </w:r>
    </w:p>
    <w:p w:rsidR="00D57BF5" w:rsidRPr="008A4CE8" w:rsidRDefault="00D57BF5" w:rsidP="00C070DD">
      <w:pPr>
        <w:autoSpaceDE w:val="0"/>
        <w:autoSpaceDN w:val="0"/>
        <w:adjustRightInd w:val="0"/>
        <w:spacing w:before="120" w:after="120" w:line="240" w:lineRule="auto"/>
        <w:jc w:val="both"/>
        <w:rPr>
          <w:rFonts w:ascii="Arial" w:hAnsi="Arial" w:cs="Arial"/>
          <w:u w:val="single"/>
        </w:rPr>
      </w:pPr>
      <w:r>
        <w:rPr>
          <w:rFonts w:ascii="Arial" w:hAnsi="Arial" w:cs="Arial"/>
          <w:b/>
          <w:bCs/>
        </w:rPr>
        <w:t>VISTA</w:t>
      </w:r>
      <w:r w:rsidRPr="00573B01">
        <w:rPr>
          <w:rFonts w:ascii="Arial" w:hAnsi="Arial" w:cs="Arial"/>
          <w:bCs/>
        </w:rPr>
        <w:t xml:space="preserve"> </w:t>
      </w:r>
      <w:r>
        <w:rPr>
          <w:rFonts w:ascii="Arial" w:hAnsi="Arial" w:cs="Arial"/>
          <w:bCs/>
        </w:rPr>
        <w:t>la legge 24 dicembre 199</w:t>
      </w:r>
      <w:r w:rsidRPr="00573B01">
        <w:rPr>
          <w:rFonts w:ascii="Arial" w:hAnsi="Arial" w:cs="Arial"/>
          <w:bCs/>
        </w:rPr>
        <w:t>3, n. 537</w:t>
      </w:r>
      <w:r>
        <w:rPr>
          <w:rFonts w:ascii="Arial" w:hAnsi="Arial" w:cs="Arial"/>
          <w:bCs/>
        </w:rPr>
        <w:t>, concernente “I</w:t>
      </w:r>
      <w:r w:rsidRPr="00573B01">
        <w:rPr>
          <w:rFonts w:ascii="Arial" w:hAnsi="Arial" w:cs="Arial"/>
          <w:bCs/>
        </w:rPr>
        <w:t>nterventi correttivi di finanza pubblica</w:t>
      </w:r>
      <w:r>
        <w:rPr>
          <w:rFonts w:ascii="Arial" w:hAnsi="Arial" w:cs="Arial"/>
          <w:bCs/>
        </w:rPr>
        <w:t>”, che, all’articolo 1, comma 21, ha disposto, tra l’altro, la soppressione del suddetto CIPET;</w:t>
      </w:r>
    </w:p>
    <w:p w:rsidR="00D57BF5" w:rsidRPr="00103039" w:rsidRDefault="00D57BF5" w:rsidP="00DB14B4">
      <w:pPr>
        <w:pStyle w:val="Corpotesto"/>
        <w:spacing w:after="120"/>
        <w:rPr>
          <w:rFonts w:ascii="Arial" w:hAnsi="Arial" w:cs="Arial"/>
          <w:szCs w:val="22"/>
        </w:rPr>
      </w:pPr>
      <w:r w:rsidRPr="00103039">
        <w:rPr>
          <w:rFonts w:ascii="Arial" w:hAnsi="Arial" w:cs="Arial"/>
          <w:b/>
          <w:szCs w:val="22"/>
        </w:rPr>
        <w:t>VISTO</w:t>
      </w:r>
      <w:r w:rsidRPr="00103039">
        <w:rPr>
          <w:rFonts w:ascii="Arial" w:hAnsi="Arial" w:cs="Arial"/>
          <w:szCs w:val="22"/>
        </w:rPr>
        <w:t xml:space="preserve"> il decreto del Presidente della Repubblica 20 aprile 1994, n. 373, e, in particolare, l’articolo 3, comma 1, che </w:t>
      </w:r>
      <w:r>
        <w:rPr>
          <w:rFonts w:ascii="Arial" w:hAnsi="Arial" w:cs="Arial"/>
          <w:szCs w:val="22"/>
        </w:rPr>
        <w:t xml:space="preserve">ha </w:t>
      </w:r>
      <w:r w:rsidRPr="00103039">
        <w:rPr>
          <w:rFonts w:ascii="Arial" w:hAnsi="Arial" w:cs="Arial"/>
          <w:szCs w:val="22"/>
        </w:rPr>
        <w:t>attribui</w:t>
      </w:r>
      <w:r>
        <w:rPr>
          <w:rFonts w:ascii="Arial" w:hAnsi="Arial" w:cs="Arial"/>
          <w:szCs w:val="22"/>
        </w:rPr>
        <w:t>to</w:t>
      </w:r>
      <w:r w:rsidRPr="00103039">
        <w:rPr>
          <w:rFonts w:ascii="Arial" w:hAnsi="Arial" w:cs="Arial"/>
          <w:szCs w:val="22"/>
        </w:rPr>
        <w:t xml:space="preserve"> a questo Comitato le funzioni del </w:t>
      </w:r>
      <w:r>
        <w:rPr>
          <w:rFonts w:ascii="Arial" w:hAnsi="Arial" w:cs="Arial"/>
          <w:szCs w:val="22"/>
        </w:rPr>
        <w:t>richiamato</w:t>
      </w:r>
      <w:r w:rsidRPr="00103039">
        <w:rPr>
          <w:rFonts w:ascii="Arial" w:hAnsi="Arial" w:cs="Arial"/>
          <w:szCs w:val="22"/>
        </w:rPr>
        <w:t xml:space="preserve"> CIPET;</w:t>
      </w:r>
    </w:p>
    <w:p w:rsidR="00D57BF5" w:rsidRPr="00B1300F" w:rsidRDefault="00D57BF5" w:rsidP="00DB14B4">
      <w:pPr>
        <w:pStyle w:val="Corpotesto"/>
        <w:spacing w:after="120"/>
        <w:rPr>
          <w:rFonts w:ascii="Arial" w:hAnsi="Arial" w:cs="Arial"/>
          <w:szCs w:val="22"/>
        </w:rPr>
      </w:pPr>
      <w:r w:rsidRPr="00103039">
        <w:rPr>
          <w:rFonts w:ascii="Arial" w:hAnsi="Arial" w:cs="Arial"/>
          <w:b/>
          <w:szCs w:val="22"/>
        </w:rPr>
        <w:t>VISTE</w:t>
      </w:r>
      <w:r w:rsidRPr="00103039">
        <w:rPr>
          <w:rFonts w:ascii="Arial" w:hAnsi="Arial" w:cs="Arial"/>
          <w:szCs w:val="22"/>
        </w:rPr>
        <w:t xml:space="preserve"> le leggi 30 maggio 1995, n. 204, 4 dicembre 1996, n. 611, 27 febbraio 1998, n. 30, 18 giugno 1998, n. 194, 23 dicembre 1998, n. 448 (legge finanziaria 1999), 7 dicembre 1999, n. 472, 23 dicembre 1999, n. 488 (legge finanziaria 2000), 23 dicembre 2000, n. 388 (legge finanziaria 2001), </w:t>
      </w:r>
      <w:r w:rsidRPr="00160148">
        <w:rPr>
          <w:rFonts w:ascii="Arial" w:hAnsi="Arial" w:cs="Arial"/>
          <w:szCs w:val="22"/>
        </w:rPr>
        <w:t>6 agosto 2008, n. 133</w:t>
      </w:r>
      <w:r w:rsidRPr="00103039">
        <w:rPr>
          <w:rFonts w:ascii="Arial" w:hAnsi="Arial" w:cs="Arial"/>
          <w:szCs w:val="22"/>
        </w:rPr>
        <w:t xml:space="preserve">, con le quali, tra l’altro, è stata rifinanziata la citata legge n. 211 del 1992 ed è stato previsto un apporto finanziario statale massimo del 60 per cento del costo delle opere per i sistemi di </w:t>
      </w:r>
      <w:r w:rsidRPr="00B1300F">
        <w:rPr>
          <w:rFonts w:ascii="Arial" w:hAnsi="Arial" w:cs="Arial"/>
          <w:szCs w:val="22"/>
        </w:rPr>
        <w:lastRenderedPageBreak/>
        <w:t>trasporto rapido di massa (metropolitane, filobus, impianti a fune, ecc.) e sulle ferrovie concesse;</w:t>
      </w:r>
    </w:p>
    <w:p w:rsidR="00D57BF5" w:rsidRPr="00B1300F" w:rsidRDefault="00D57BF5" w:rsidP="00C070DD">
      <w:pPr>
        <w:spacing w:before="120" w:after="120" w:line="240" w:lineRule="auto"/>
        <w:jc w:val="both"/>
        <w:rPr>
          <w:rFonts w:ascii="Arial" w:hAnsi="Arial" w:cs="Arial"/>
        </w:rPr>
      </w:pPr>
      <w:r w:rsidRPr="00B1300F">
        <w:rPr>
          <w:rFonts w:ascii="Arial" w:hAnsi="Arial" w:cs="Arial"/>
          <w:b/>
        </w:rPr>
        <w:t>VISTA</w:t>
      </w:r>
      <w:r w:rsidRPr="00B1300F">
        <w:rPr>
          <w:rFonts w:ascii="Arial" w:hAnsi="Arial" w:cs="Arial"/>
        </w:rPr>
        <w:t xml:space="preserve"> la legge 17 maggio 1999, n. 144, che all’articolo 1, comma 5, ha istituito presso questo Comitato il “Sistema di monitoraggio degli investimenti pubblici” (MIP), con il compito di fornire tempestivamente informazioni sull'attuazione delle politiche di sviluppo e funzionale all'alimentazione di una banca dati tenuta nell'ambito di questo stesso Comitato;</w:t>
      </w:r>
    </w:p>
    <w:p w:rsidR="00D57BF5" w:rsidRPr="00C0649B" w:rsidRDefault="00D57BF5" w:rsidP="00C070DD">
      <w:pPr>
        <w:spacing w:before="120" w:after="120" w:line="240" w:lineRule="auto"/>
        <w:jc w:val="both"/>
        <w:rPr>
          <w:rFonts w:ascii="Arial" w:hAnsi="Arial" w:cs="Arial"/>
        </w:rPr>
      </w:pPr>
      <w:r w:rsidRPr="00B1300F">
        <w:rPr>
          <w:rFonts w:ascii="Arial" w:hAnsi="Arial" w:cs="Arial"/>
          <w:b/>
        </w:rPr>
        <w:t>VISTA</w:t>
      </w:r>
      <w:r w:rsidRPr="00B1300F">
        <w:rPr>
          <w:rFonts w:ascii="Arial" w:hAnsi="Arial" w:cs="Arial"/>
        </w:rPr>
        <w:t xml:space="preserve"> la normativa vigente in materia di Codice unico di progetto (CUP) e, in</w:t>
      </w:r>
      <w:r w:rsidRPr="00C0649B">
        <w:rPr>
          <w:rFonts w:ascii="Arial" w:hAnsi="Arial" w:cs="Arial"/>
        </w:rPr>
        <w:t xml:space="preserve"> particolare:</w:t>
      </w:r>
    </w:p>
    <w:p w:rsidR="00D57BF5" w:rsidRPr="00C0649B" w:rsidRDefault="00D57BF5" w:rsidP="00DB14B4">
      <w:pPr>
        <w:numPr>
          <w:ilvl w:val="0"/>
          <w:numId w:val="4"/>
        </w:numPr>
        <w:spacing w:before="120" w:after="120" w:line="240" w:lineRule="auto"/>
        <w:ind w:left="426" w:hanging="426"/>
        <w:jc w:val="both"/>
        <w:rPr>
          <w:rFonts w:ascii="Arial" w:hAnsi="Arial"/>
        </w:rPr>
      </w:pPr>
      <w:r w:rsidRPr="00C0649B">
        <w:rPr>
          <w:rFonts w:ascii="Arial" w:hAnsi="Arial"/>
        </w:rPr>
        <w:t xml:space="preserve">le delibere 27 dicembre 2002, n. 143, pubblicata sulla </w:t>
      </w:r>
      <w:r w:rsidRPr="00C0649B">
        <w:rPr>
          <w:rFonts w:ascii="Arial" w:hAnsi="Arial"/>
          <w:i/>
        </w:rPr>
        <w:t>Gazzetta Ufficiale</w:t>
      </w:r>
      <w:r w:rsidRPr="00C0649B">
        <w:rPr>
          <w:rFonts w:ascii="Arial" w:hAnsi="Arial"/>
        </w:rPr>
        <w:t xml:space="preserve"> n. 87 del 2003, </w:t>
      </w:r>
      <w:r w:rsidRPr="00C0649B">
        <w:rPr>
          <w:rFonts w:ascii="Arial" w:hAnsi="Arial"/>
          <w:i/>
        </w:rPr>
        <w:t>errata corrige</w:t>
      </w:r>
      <w:r w:rsidRPr="00C0649B">
        <w:rPr>
          <w:rFonts w:ascii="Arial" w:hAnsi="Arial"/>
        </w:rPr>
        <w:t xml:space="preserve"> pubblicata sulla </w:t>
      </w:r>
      <w:r w:rsidRPr="00C0649B">
        <w:rPr>
          <w:rFonts w:ascii="Arial" w:hAnsi="Arial"/>
          <w:i/>
        </w:rPr>
        <w:t>Gazzetta Ufficiale</w:t>
      </w:r>
      <w:r w:rsidRPr="00C0649B">
        <w:rPr>
          <w:rFonts w:ascii="Arial" w:hAnsi="Arial"/>
        </w:rPr>
        <w:t xml:space="preserve"> n. 140 del 2003, e 29 settembre 2004, n. 24, pubblicata sulla </w:t>
      </w:r>
      <w:r w:rsidRPr="00C0649B">
        <w:rPr>
          <w:rFonts w:ascii="Arial" w:hAnsi="Arial"/>
          <w:i/>
        </w:rPr>
        <w:t>Gazzetta Ufficiale</w:t>
      </w:r>
      <w:r w:rsidRPr="00C0649B">
        <w:rPr>
          <w:rFonts w:ascii="Arial" w:hAnsi="Arial"/>
        </w:rPr>
        <w:t xml:space="preserve"> n. 276 del 2004, con le quali questo Comitato ha definito il sistema per l’attribuzione del CUP e ha stabilito che il CUP deve essere riportato su tutti i documenti amministrativi e contabili, cartacei ed informatici relativi a progetti d’investimento pubblico e deve essere utilizzato nelle banche dati dei vari sistemi informativi, comunque interessati ai suddetti progetti;</w:t>
      </w:r>
    </w:p>
    <w:p w:rsidR="00D57BF5" w:rsidRPr="00C0649B" w:rsidRDefault="00D57BF5" w:rsidP="00E266A1">
      <w:pPr>
        <w:numPr>
          <w:ilvl w:val="0"/>
          <w:numId w:val="4"/>
        </w:numPr>
        <w:spacing w:before="120" w:after="120" w:line="240" w:lineRule="auto"/>
        <w:ind w:left="426" w:hanging="426"/>
        <w:jc w:val="both"/>
        <w:rPr>
          <w:rFonts w:ascii="Arial" w:hAnsi="Arial"/>
        </w:rPr>
      </w:pPr>
      <w:r w:rsidRPr="00C0649B">
        <w:rPr>
          <w:rFonts w:ascii="Arial" w:hAnsi="Arial"/>
        </w:rPr>
        <w:t>la legge 16 gennaio 2003, n. 3, recante “Disposizioni ordinamentali in materia di pubblica amministrazione”, che, all’articolo 11, dispone che ogni progetto di investimento pubblico deve essere dotato di un CUP;</w:t>
      </w:r>
    </w:p>
    <w:p w:rsidR="00D57BF5" w:rsidRPr="00C0649B" w:rsidRDefault="00D57BF5" w:rsidP="00C070DD">
      <w:pPr>
        <w:numPr>
          <w:ilvl w:val="0"/>
          <w:numId w:val="4"/>
        </w:numPr>
        <w:spacing w:before="120" w:after="120" w:line="240" w:lineRule="auto"/>
        <w:ind w:left="426" w:hanging="426"/>
        <w:jc w:val="both"/>
        <w:rPr>
          <w:rFonts w:ascii="Arial" w:hAnsi="Arial"/>
        </w:rPr>
      </w:pPr>
      <w:r w:rsidRPr="00C0649B">
        <w:rPr>
          <w:rFonts w:ascii="Arial" w:hAnsi="Arial"/>
        </w:rPr>
        <w:t>la legge 13 agosto 2010, n. 136, come modificata dal decreto legge 12 novembre 2010, n. 187, convertito</w:t>
      </w:r>
      <w:r w:rsidRPr="00160148">
        <w:rPr>
          <w:rFonts w:ascii="Arial" w:hAnsi="Arial"/>
        </w:rPr>
        <w:t>, con modificazioni,</w:t>
      </w:r>
      <w:r w:rsidRPr="00C0649B">
        <w:rPr>
          <w:rFonts w:ascii="Arial" w:hAnsi="Arial"/>
        </w:rPr>
        <w:t xml:space="preserve"> dalla legge 17 dicembre 2010, n. 217, che, tra l’altro, definisce le sanzioni applicabili in caso di mancata apposizione del CUP sugli strumenti di pagamento;</w:t>
      </w:r>
    </w:p>
    <w:p w:rsidR="00D57BF5" w:rsidRPr="00C0649B" w:rsidRDefault="00D57BF5" w:rsidP="00C070DD">
      <w:pPr>
        <w:spacing w:before="120" w:after="120" w:line="240" w:lineRule="auto"/>
        <w:jc w:val="both"/>
        <w:rPr>
          <w:rFonts w:ascii="Arial" w:hAnsi="Arial" w:cs="Arial"/>
        </w:rPr>
      </w:pPr>
      <w:r w:rsidRPr="00C0649B">
        <w:rPr>
          <w:rFonts w:ascii="Arial" w:hAnsi="Arial" w:cs="Arial"/>
          <w:b/>
        </w:rPr>
        <w:t>VISTO</w:t>
      </w:r>
      <w:r w:rsidRPr="00C0649B">
        <w:rPr>
          <w:rFonts w:ascii="Arial" w:hAnsi="Arial" w:cs="Arial"/>
        </w:rPr>
        <w:t xml:space="preserve"> il decreto legislativo 29 dicembre 2011, n. 229, concernente “Attuazione dell'articolo 30, comma 9, lettere e), f) e g), della legge 31 dicembre 2009, n. 196, in materia di procedure di monitoraggio sullo stato di attuazione delle op</w:t>
      </w:r>
      <w:r>
        <w:rPr>
          <w:rFonts w:ascii="Arial" w:hAnsi="Arial" w:cs="Arial"/>
        </w:rPr>
        <w:t>ere pubbliche, di verifica dell’</w:t>
      </w:r>
      <w:r w:rsidRPr="00C0649B">
        <w:rPr>
          <w:rFonts w:ascii="Arial" w:hAnsi="Arial" w:cs="Arial"/>
        </w:rPr>
        <w:t>utilizzo dei finanziamenti nei tempi previsti e costituzione del Fondo opere e del Fondo progetti”;</w:t>
      </w:r>
    </w:p>
    <w:p w:rsidR="00D57BF5" w:rsidRPr="00103039" w:rsidRDefault="00D57BF5" w:rsidP="00DB14B4">
      <w:pPr>
        <w:pStyle w:val="Elenco"/>
        <w:numPr>
          <w:ilvl w:val="0"/>
          <w:numId w:val="0"/>
        </w:numPr>
      </w:pPr>
      <w:r w:rsidRPr="00103039">
        <w:rPr>
          <w:b/>
        </w:rPr>
        <w:t>VISTO</w:t>
      </w:r>
      <w:r w:rsidRPr="00103039">
        <w:t xml:space="preserve"> il decreto</w:t>
      </w:r>
      <w:r>
        <w:t>-</w:t>
      </w:r>
      <w:r w:rsidRPr="00103039">
        <w:t xml:space="preserve">legge 18 ottobre 2012, n. 179, </w:t>
      </w:r>
      <w:r w:rsidRPr="00103039">
        <w:rPr>
          <w:rFonts w:cs="Arial"/>
        </w:rPr>
        <w:t xml:space="preserve">convertito, con modificazioni, dalla legge 17 dicembre 2012, n. 221, </w:t>
      </w:r>
      <w:r w:rsidRPr="00103039">
        <w:t>e visto in particolare l’articolo 8, comma 9-</w:t>
      </w:r>
      <w:r w:rsidRPr="00103039">
        <w:rPr>
          <w:i/>
        </w:rPr>
        <w:t>bis</w:t>
      </w:r>
      <w:r w:rsidRPr="00103039">
        <w:t>, che dispone che il Ministro delle infrastrutture e dei trasporti</w:t>
      </w:r>
      <w:r>
        <w:t xml:space="preserve"> (MIT)</w:t>
      </w:r>
      <w:r w:rsidRPr="00103039">
        <w:t>, con proprio decreto, istituisca un Comitato tecnico permanente per la sicurezza dei sistemi di trasporto ad impianti fissi;</w:t>
      </w:r>
    </w:p>
    <w:p w:rsidR="00D57BF5" w:rsidRPr="00103039" w:rsidRDefault="00D57BF5" w:rsidP="00E266A1">
      <w:pPr>
        <w:pStyle w:val="Elenco"/>
        <w:numPr>
          <w:ilvl w:val="0"/>
          <w:numId w:val="0"/>
        </w:numPr>
      </w:pPr>
      <w:r w:rsidRPr="00103039">
        <w:rPr>
          <w:b/>
        </w:rPr>
        <w:t>VISTO</w:t>
      </w:r>
      <w:r w:rsidRPr="00103039">
        <w:t xml:space="preserve"> il decreto del </w:t>
      </w:r>
      <w:r>
        <w:t>MIT</w:t>
      </w:r>
      <w:r w:rsidRPr="00103039">
        <w:t xml:space="preserve"> 30 gennaio 2013, n. 27, con il quale è stato istituito il citato Comitato tecnico permanente per la sicurezza dei sistemi di trasporto ad impianti fissi;</w:t>
      </w:r>
    </w:p>
    <w:p w:rsidR="00D57BF5" w:rsidRDefault="00D57BF5" w:rsidP="00C070DD">
      <w:pPr>
        <w:autoSpaceDE w:val="0"/>
        <w:autoSpaceDN w:val="0"/>
        <w:adjustRightInd w:val="0"/>
        <w:spacing w:before="120" w:after="120" w:line="240" w:lineRule="auto"/>
        <w:jc w:val="both"/>
        <w:rPr>
          <w:rFonts w:ascii="Arial" w:hAnsi="Arial" w:cs="Arial"/>
        </w:rPr>
      </w:pPr>
      <w:r w:rsidRPr="0036022D">
        <w:rPr>
          <w:rFonts w:ascii="Arial" w:hAnsi="Arial" w:cs="Arial"/>
          <w:b/>
        </w:rPr>
        <w:t>VISTE</w:t>
      </w:r>
      <w:r w:rsidRPr="0036022D">
        <w:rPr>
          <w:rFonts w:ascii="Arial" w:hAnsi="Arial" w:cs="Arial"/>
        </w:rPr>
        <w:t xml:space="preserve"> le delibere con le quali questo Comitato ha assegnato le risorse di cui alle leggi citate in esordio, ammettendo a finanziamento numerosi interventi sulla base di apposite graduatorie, e provveduto a rimodulare le stesse risorse;</w:t>
      </w:r>
    </w:p>
    <w:p w:rsidR="00A24BEF" w:rsidRPr="0036022D" w:rsidRDefault="00A24BEF" w:rsidP="00C070DD">
      <w:pPr>
        <w:autoSpaceDE w:val="0"/>
        <w:autoSpaceDN w:val="0"/>
        <w:adjustRightInd w:val="0"/>
        <w:spacing w:before="120" w:after="120" w:line="240" w:lineRule="auto"/>
        <w:jc w:val="both"/>
        <w:rPr>
          <w:rFonts w:ascii="Arial" w:hAnsi="Arial" w:cs="Arial"/>
        </w:rPr>
      </w:pPr>
    </w:p>
    <w:p w:rsidR="00D57BF5" w:rsidRPr="00CD066D" w:rsidRDefault="00D57BF5" w:rsidP="00C070DD">
      <w:pPr>
        <w:spacing w:before="120" w:after="120" w:line="240" w:lineRule="auto"/>
        <w:jc w:val="both"/>
        <w:rPr>
          <w:rFonts w:ascii="Arial" w:hAnsi="Arial" w:cs="Arial"/>
          <w:szCs w:val="20"/>
        </w:rPr>
      </w:pPr>
      <w:r w:rsidRPr="00CD066D">
        <w:rPr>
          <w:rFonts w:ascii="Arial" w:hAnsi="Arial" w:cs="Arial"/>
          <w:b/>
          <w:szCs w:val="20"/>
        </w:rPr>
        <w:lastRenderedPageBreak/>
        <w:t>VISTE</w:t>
      </w:r>
      <w:r w:rsidRPr="00CD066D">
        <w:rPr>
          <w:rFonts w:ascii="Arial" w:hAnsi="Arial" w:cs="Arial"/>
          <w:szCs w:val="20"/>
        </w:rPr>
        <w:t>, in particolare:</w:t>
      </w:r>
    </w:p>
    <w:p w:rsidR="00D57BF5" w:rsidRPr="00CD066D" w:rsidRDefault="00D57BF5" w:rsidP="00DB14B4">
      <w:pPr>
        <w:numPr>
          <w:ilvl w:val="0"/>
          <w:numId w:val="6"/>
        </w:numPr>
        <w:tabs>
          <w:tab w:val="clear" w:pos="360"/>
        </w:tabs>
        <w:spacing w:before="120" w:after="120" w:line="240" w:lineRule="auto"/>
        <w:ind w:left="426" w:hanging="426"/>
        <w:jc w:val="both"/>
        <w:rPr>
          <w:rFonts w:ascii="Arial" w:hAnsi="Arial" w:cs="Arial"/>
          <w:szCs w:val="20"/>
        </w:rPr>
      </w:pPr>
      <w:r w:rsidRPr="00CD066D">
        <w:rPr>
          <w:rFonts w:ascii="Arial" w:hAnsi="Arial" w:cs="Arial"/>
          <w:szCs w:val="20"/>
        </w:rPr>
        <w:t>la delibera 21 dicembre 1995, n. 185</w:t>
      </w:r>
      <w:r>
        <w:rPr>
          <w:rFonts w:ascii="Arial" w:hAnsi="Arial" w:cs="Arial"/>
          <w:szCs w:val="20"/>
        </w:rPr>
        <w:t>,</w:t>
      </w:r>
      <w:r w:rsidRPr="00CD066D">
        <w:rPr>
          <w:rFonts w:ascii="Arial" w:hAnsi="Arial" w:cs="Arial"/>
          <w:szCs w:val="20"/>
        </w:rPr>
        <w:t xml:space="preserve"> </w:t>
      </w:r>
      <w:r>
        <w:rPr>
          <w:rFonts w:ascii="Arial" w:hAnsi="Arial" w:cs="Arial"/>
          <w:szCs w:val="20"/>
        </w:rPr>
        <w:t xml:space="preserve">pubblicata sulla </w:t>
      </w:r>
      <w:r w:rsidRPr="00CD066D">
        <w:rPr>
          <w:rFonts w:ascii="Arial" w:hAnsi="Arial" w:cs="Arial"/>
          <w:i/>
          <w:szCs w:val="20"/>
        </w:rPr>
        <w:t>Gazzetta Ufficiale</w:t>
      </w:r>
      <w:r>
        <w:rPr>
          <w:rFonts w:ascii="Arial" w:hAnsi="Arial" w:cs="Arial"/>
          <w:szCs w:val="20"/>
        </w:rPr>
        <w:t xml:space="preserve"> n. </w:t>
      </w:r>
      <w:r w:rsidRPr="00CD066D">
        <w:rPr>
          <w:rFonts w:ascii="Arial" w:hAnsi="Arial" w:cs="Arial"/>
          <w:szCs w:val="20"/>
        </w:rPr>
        <w:t>57</w:t>
      </w:r>
      <w:r>
        <w:rPr>
          <w:rFonts w:ascii="Arial" w:hAnsi="Arial" w:cs="Arial"/>
          <w:szCs w:val="20"/>
        </w:rPr>
        <w:t xml:space="preserve"> del </w:t>
      </w:r>
      <w:r w:rsidRPr="00CD066D">
        <w:rPr>
          <w:rFonts w:ascii="Arial" w:hAnsi="Arial" w:cs="Arial"/>
          <w:szCs w:val="20"/>
        </w:rPr>
        <w:t xml:space="preserve">1996, con la quale è stato approvato, tra gli altri, l’intervento “Ferrovia Roma-Lido – tratta funzionale </w:t>
      </w:r>
      <w:proofErr w:type="spellStart"/>
      <w:r w:rsidRPr="00CD066D">
        <w:rPr>
          <w:rFonts w:ascii="Arial" w:hAnsi="Arial" w:cs="Arial"/>
          <w:szCs w:val="20"/>
        </w:rPr>
        <w:t>Mezzocammino</w:t>
      </w:r>
      <w:proofErr w:type="spellEnd"/>
      <w:r w:rsidRPr="00CD066D">
        <w:rPr>
          <w:rFonts w:ascii="Arial" w:hAnsi="Arial" w:cs="Arial"/>
          <w:szCs w:val="20"/>
        </w:rPr>
        <w:t>-</w:t>
      </w:r>
      <w:proofErr w:type="spellStart"/>
      <w:r w:rsidRPr="00CD066D">
        <w:rPr>
          <w:rFonts w:ascii="Arial" w:hAnsi="Arial" w:cs="Arial"/>
          <w:szCs w:val="20"/>
        </w:rPr>
        <w:t>Spinaceto</w:t>
      </w:r>
      <w:proofErr w:type="spellEnd"/>
      <w:r w:rsidRPr="00CD066D">
        <w:rPr>
          <w:rFonts w:ascii="Arial" w:hAnsi="Arial" w:cs="Arial"/>
          <w:szCs w:val="20"/>
        </w:rPr>
        <w:t xml:space="preserve">-Tor de’ Cenci”, del costo di </w:t>
      </w:r>
      <w:r>
        <w:rPr>
          <w:rFonts w:ascii="Arial" w:hAnsi="Arial" w:cs="Arial"/>
          <w:szCs w:val="20"/>
        </w:rPr>
        <w:t xml:space="preserve">circa </w:t>
      </w:r>
      <w:r w:rsidRPr="00CD066D">
        <w:rPr>
          <w:rFonts w:ascii="Arial" w:hAnsi="Arial" w:cs="Arial"/>
          <w:szCs w:val="20"/>
        </w:rPr>
        <w:t xml:space="preserve">125,138 </w:t>
      </w:r>
      <w:r>
        <w:rPr>
          <w:rFonts w:ascii="Arial" w:hAnsi="Arial" w:cs="Arial"/>
          <w:szCs w:val="20"/>
        </w:rPr>
        <w:t>milioni di euro</w:t>
      </w:r>
      <w:r w:rsidRPr="00CD066D">
        <w:rPr>
          <w:rFonts w:ascii="Arial" w:hAnsi="Arial" w:cs="Arial"/>
          <w:szCs w:val="20"/>
        </w:rPr>
        <w:t xml:space="preserve">, cui è stato attribuito un contributo, in termini di volume d’investimenti, di 62,569 </w:t>
      </w:r>
      <w:r>
        <w:rPr>
          <w:rFonts w:ascii="Arial" w:hAnsi="Arial" w:cs="Arial"/>
          <w:szCs w:val="20"/>
        </w:rPr>
        <w:t>milioni di euro</w:t>
      </w:r>
      <w:r w:rsidRPr="00CD066D">
        <w:rPr>
          <w:rFonts w:ascii="Arial" w:hAnsi="Arial" w:cs="Arial"/>
          <w:szCs w:val="20"/>
        </w:rPr>
        <w:t xml:space="preserve">, corrispondente ad un limite d’impegno annuo di 11,139 </w:t>
      </w:r>
      <w:r>
        <w:rPr>
          <w:rFonts w:ascii="Arial" w:hAnsi="Arial" w:cs="Arial"/>
          <w:szCs w:val="20"/>
        </w:rPr>
        <w:t xml:space="preserve">milioni di euro </w:t>
      </w:r>
      <w:r w:rsidRPr="00CD066D">
        <w:rPr>
          <w:rFonts w:ascii="Arial" w:hAnsi="Arial" w:cs="Arial"/>
          <w:szCs w:val="20"/>
        </w:rPr>
        <w:t>per 8 ann</w:t>
      </w:r>
      <w:r>
        <w:rPr>
          <w:rFonts w:ascii="Arial" w:hAnsi="Arial" w:cs="Arial"/>
          <w:szCs w:val="20"/>
        </w:rPr>
        <w:t>i,</w:t>
      </w:r>
      <w:r w:rsidRPr="00CD066D">
        <w:rPr>
          <w:rFonts w:ascii="Arial" w:hAnsi="Arial" w:cs="Arial"/>
          <w:szCs w:val="20"/>
        </w:rPr>
        <w:t xml:space="preserve"> imputato sulle risorse previste dall’art</w:t>
      </w:r>
      <w:r>
        <w:rPr>
          <w:rFonts w:ascii="Arial" w:hAnsi="Arial" w:cs="Arial"/>
          <w:szCs w:val="20"/>
        </w:rPr>
        <w:t>icolo</w:t>
      </w:r>
      <w:r w:rsidRPr="00CD066D">
        <w:rPr>
          <w:rFonts w:ascii="Arial" w:hAnsi="Arial" w:cs="Arial"/>
          <w:szCs w:val="20"/>
        </w:rPr>
        <w:t xml:space="preserve"> 10 della legge n. 211</w:t>
      </w:r>
      <w:r>
        <w:rPr>
          <w:rFonts w:ascii="Arial" w:hAnsi="Arial" w:cs="Arial"/>
          <w:szCs w:val="20"/>
        </w:rPr>
        <w:t xml:space="preserve"> del </w:t>
      </w:r>
      <w:r w:rsidRPr="00CD066D">
        <w:rPr>
          <w:rFonts w:ascii="Arial" w:hAnsi="Arial" w:cs="Arial"/>
          <w:szCs w:val="20"/>
        </w:rPr>
        <w:t>1992;</w:t>
      </w:r>
    </w:p>
    <w:p w:rsidR="00D57BF5" w:rsidRPr="00CD066D" w:rsidRDefault="00D57BF5" w:rsidP="00DB14B4">
      <w:pPr>
        <w:numPr>
          <w:ilvl w:val="0"/>
          <w:numId w:val="6"/>
        </w:numPr>
        <w:tabs>
          <w:tab w:val="clear" w:pos="360"/>
        </w:tabs>
        <w:spacing w:before="120" w:after="120" w:line="240" w:lineRule="auto"/>
        <w:ind w:left="426" w:hanging="426"/>
        <w:jc w:val="both"/>
        <w:rPr>
          <w:rFonts w:ascii="Arial" w:hAnsi="Arial" w:cs="Arial"/>
          <w:szCs w:val="20"/>
        </w:rPr>
      </w:pPr>
      <w:r w:rsidRPr="00CD066D">
        <w:rPr>
          <w:rFonts w:ascii="Arial" w:hAnsi="Arial" w:cs="Arial"/>
          <w:szCs w:val="20"/>
        </w:rPr>
        <w:t>la delibera 4 agosto 2000, n. 71</w:t>
      </w:r>
      <w:r>
        <w:rPr>
          <w:rFonts w:ascii="Arial" w:hAnsi="Arial" w:cs="Arial"/>
          <w:szCs w:val="20"/>
        </w:rPr>
        <w:t xml:space="preserve">, </w:t>
      </w:r>
      <w:r w:rsidRPr="00212293">
        <w:rPr>
          <w:rFonts w:ascii="Arial" w:hAnsi="Arial" w:cs="Arial"/>
          <w:szCs w:val="20"/>
        </w:rPr>
        <w:t xml:space="preserve">pubblicata sulla </w:t>
      </w:r>
      <w:r w:rsidRPr="00212293">
        <w:rPr>
          <w:rFonts w:ascii="Arial" w:hAnsi="Arial" w:cs="Arial"/>
          <w:i/>
          <w:szCs w:val="20"/>
        </w:rPr>
        <w:t>Gazzetta Ufficiale</w:t>
      </w:r>
      <w:r w:rsidRPr="00CD066D">
        <w:rPr>
          <w:rFonts w:ascii="Arial" w:hAnsi="Arial" w:cs="Arial"/>
          <w:szCs w:val="20"/>
        </w:rPr>
        <w:t xml:space="preserve"> n. 244</w:t>
      </w:r>
      <w:r>
        <w:rPr>
          <w:rFonts w:ascii="Arial" w:hAnsi="Arial" w:cs="Arial"/>
          <w:szCs w:val="20"/>
        </w:rPr>
        <w:t xml:space="preserve"> del </w:t>
      </w:r>
      <w:r w:rsidRPr="00CD066D">
        <w:rPr>
          <w:rFonts w:ascii="Arial" w:hAnsi="Arial" w:cs="Arial"/>
          <w:szCs w:val="20"/>
        </w:rPr>
        <w:t xml:space="preserve">2000, con cui </w:t>
      </w:r>
      <w:r>
        <w:rPr>
          <w:rFonts w:ascii="Arial" w:hAnsi="Arial" w:cs="Arial"/>
          <w:szCs w:val="20"/>
        </w:rPr>
        <w:t>alla</w:t>
      </w:r>
      <w:r w:rsidRPr="00CD066D">
        <w:rPr>
          <w:rFonts w:ascii="Arial" w:hAnsi="Arial" w:cs="Arial"/>
          <w:szCs w:val="20"/>
        </w:rPr>
        <w:t xml:space="preserve"> variante del</w:t>
      </w:r>
      <w:r>
        <w:rPr>
          <w:rFonts w:ascii="Arial" w:hAnsi="Arial" w:cs="Arial"/>
          <w:szCs w:val="20"/>
        </w:rPr>
        <w:t>l’</w:t>
      </w:r>
      <w:r w:rsidRPr="00CD066D">
        <w:rPr>
          <w:rFonts w:ascii="Arial" w:hAnsi="Arial" w:cs="Arial"/>
          <w:szCs w:val="20"/>
        </w:rPr>
        <w:t>intervento</w:t>
      </w:r>
      <w:r>
        <w:rPr>
          <w:rFonts w:ascii="Arial" w:hAnsi="Arial" w:cs="Arial"/>
          <w:szCs w:val="20"/>
        </w:rPr>
        <w:t xml:space="preserve"> sopra citato – configurato quale </w:t>
      </w:r>
      <w:r w:rsidRPr="002C6EBF">
        <w:rPr>
          <w:rFonts w:ascii="Arial" w:hAnsi="Arial" w:cs="Arial"/>
          <w:szCs w:val="20"/>
        </w:rPr>
        <w:t>metropolitana leggera automatica</w:t>
      </w:r>
      <w:r>
        <w:rPr>
          <w:rFonts w:ascii="Arial" w:hAnsi="Arial" w:cs="Arial"/>
          <w:szCs w:val="20"/>
        </w:rPr>
        <w:t xml:space="preserve"> e denominato “si</w:t>
      </w:r>
      <w:r w:rsidRPr="00CD066D">
        <w:rPr>
          <w:rFonts w:ascii="Arial" w:hAnsi="Arial" w:cs="Arial"/>
          <w:szCs w:val="20"/>
        </w:rPr>
        <w:t xml:space="preserve">stema innovativo di collegamento tra stazione </w:t>
      </w:r>
      <w:r>
        <w:rPr>
          <w:rFonts w:ascii="Arial" w:hAnsi="Arial" w:cs="Arial"/>
          <w:szCs w:val="20"/>
        </w:rPr>
        <w:t>EUR</w:t>
      </w:r>
      <w:r w:rsidRPr="00CD066D">
        <w:rPr>
          <w:rFonts w:ascii="Arial" w:hAnsi="Arial" w:cs="Arial"/>
          <w:szCs w:val="20"/>
        </w:rPr>
        <w:t xml:space="preserve">-Fermi metropolitana B ed il quartiere Tor de’ Cenci” </w:t>
      </w:r>
      <w:r>
        <w:rPr>
          <w:rFonts w:ascii="Arial" w:hAnsi="Arial" w:cs="Arial"/>
          <w:szCs w:val="20"/>
        </w:rPr>
        <w:t>– s</w:t>
      </w:r>
      <w:r w:rsidRPr="00CD066D">
        <w:rPr>
          <w:rFonts w:ascii="Arial" w:hAnsi="Arial" w:cs="Arial"/>
          <w:szCs w:val="20"/>
        </w:rPr>
        <w:t>ono state trasferite le risorse assegnate con la citata delibera n. 185</w:t>
      </w:r>
      <w:r>
        <w:rPr>
          <w:rFonts w:ascii="Arial" w:hAnsi="Arial" w:cs="Arial"/>
          <w:szCs w:val="20"/>
        </w:rPr>
        <w:t xml:space="preserve"> del </w:t>
      </w:r>
      <w:r w:rsidRPr="00CD066D">
        <w:rPr>
          <w:rFonts w:ascii="Arial" w:hAnsi="Arial" w:cs="Arial"/>
          <w:szCs w:val="20"/>
        </w:rPr>
        <w:t>1995;</w:t>
      </w:r>
      <w:r>
        <w:rPr>
          <w:rFonts w:ascii="Arial" w:hAnsi="Arial" w:cs="Arial"/>
          <w:szCs w:val="20"/>
        </w:rPr>
        <w:t xml:space="preserve"> </w:t>
      </w:r>
    </w:p>
    <w:p w:rsidR="00D57BF5" w:rsidRPr="002F7852" w:rsidRDefault="00D57BF5" w:rsidP="00E266A1">
      <w:pPr>
        <w:numPr>
          <w:ilvl w:val="0"/>
          <w:numId w:val="6"/>
        </w:numPr>
        <w:spacing w:before="120" w:after="120" w:line="240" w:lineRule="auto"/>
        <w:jc w:val="both"/>
        <w:rPr>
          <w:rFonts w:ascii="Arial" w:hAnsi="Arial" w:cs="Arial"/>
          <w:szCs w:val="20"/>
        </w:rPr>
      </w:pPr>
      <w:r w:rsidRPr="00CD066D">
        <w:rPr>
          <w:rFonts w:ascii="Arial" w:hAnsi="Arial" w:cs="Arial"/>
          <w:szCs w:val="20"/>
        </w:rPr>
        <w:t>la delibera 29 novembre 2002, n. 99</w:t>
      </w:r>
      <w:r>
        <w:rPr>
          <w:rFonts w:ascii="Arial" w:hAnsi="Arial" w:cs="Arial"/>
          <w:szCs w:val="20"/>
        </w:rPr>
        <w:t>,</w:t>
      </w:r>
      <w:r w:rsidRPr="00CD066D">
        <w:rPr>
          <w:rFonts w:ascii="Arial" w:hAnsi="Arial" w:cs="Arial"/>
          <w:szCs w:val="20"/>
        </w:rPr>
        <w:t xml:space="preserve"> </w:t>
      </w:r>
      <w:r w:rsidRPr="001700F5">
        <w:rPr>
          <w:rFonts w:ascii="Arial" w:hAnsi="Arial" w:cs="Arial"/>
          <w:szCs w:val="20"/>
        </w:rPr>
        <w:t xml:space="preserve">pubblicata sulla </w:t>
      </w:r>
      <w:r w:rsidRPr="001700F5">
        <w:rPr>
          <w:rFonts w:ascii="Arial" w:hAnsi="Arial" w:cs="Arial"/>
          <w:i/>
          <w:szCs w:val="20"/>
        </w:rPr>
        <w:t>Gazzetta Ufficiale</w:t>
      </w:r>
      <w:r w:rsidRPr="001700F5">
        <w:rPr>
          <w:rFonts w:ascii="Arial" w:hAnsi="Arial" w:cs="Arial"/>
          <w:szCs w:val="20"/>
        </w:rPr>
        <w:t xml:space="preserve"> </w:t>
      </w:r>
      <w:r w:rsidRPr="00CD066D">
        <w:rPr>
          <w:rFonts w:ascii="Arial" w:hAnsi="Arial" w:cs="Arial"/>
          <w:szCs w:val="20"/>
        </w:rPr>
        <w:t>n. 18</w:t>
      </w:r>
      <w:r>
        <w:rPr>
          <w:rFonts w:ascii="Arial" w:hAnsi="Arial" w:cs="Arial"/>
          <w:szCs w:val="20"/>
        </w:rPr>
        <w:t xml:space="preserve"> del </w:t>
      </w:r>
      <w:r w:rsidRPr="00CD066D">
        <w:rPr>
          <w:rFonts w:ascii="Arial" w:hAnsi="Arial" w:cs="Arial"/>
          <w:szCs w:val="20"/>
        </w:rPr>
        <w:t xml:space="preserve">2003, con la quale, </w:t>
      </w:r>
      <w:r>
        <w:rPr>
          <w:rFonts w:ascii="Arial" w:hAnsi="Arial" w:cs="Arial"/>
          <w:szCs w:val="20"/>
        </w:rPr>
        <w:t>per il finanziamento dell’</w:t>
      </w:r>
      <w:r w:rsidRPr="00CD066D">
        <w:rPr>
          <w:rFonts w:ascii="Arial" w:hAnsi="Arial" w:cs="Arial"/>
          <w:szCs w:val="20"/>
        </w:rPr>
        <w:t xml:space="preserve">ulteriore variante tecnologica dell’intervento </w:t>
      </w:r>
      <w:r>
        <w:rPr>
          <w:rFonts w:ascii="Arial" w:hAnsi="Arial" w:cs="Arial"/>
          <w:szCs w:val="20"/>
        </w:rPr>
        <w:t>di cui alla delibera n. 71 del 2000</w:t>
      </w:r>
      <w:r w:rsidRPr="00CD066D">
        <w:rPr>
          <w:rFonts w:ascii="Arial" w:hAnsi="Arial" w:cs="Arial"/>
          <w:szCs w:val="20"/>
        </w:rPr>
        <w:t xml:space="preserve">, </w:t>
      </w:r>
      <w:r>
        <w:rPr>
          <w:rFonts w:ascii="Arial" w:hAnsi="Arial" w:cs="Arial"/>
          <w:szCs w:val="20"/>
        </w:rPr>
        <w:t>che ha previsto la</w:t>
      </w:r>
      <w:r w:rsidRPr="00CD066D">
        <w:rPr>
          <w:rFonts w:ascii="Arial" w:hAnsi="Arial" w:cs="Arial"/>
          <w:szCs w:val="20"/>
        </w:rPr>
        <w:t xml:space="preserve"> soluzione meno onerosa e meno invasiva della “tranvia su gomma”, è stata disposta la traslazione dei relativi oneri </w:t>
      </w:r>
      <w:r>
        <w:rPr>
          <w:rFonts w:ascii="Arial" w:hAnsi="Arial" w:cs="Arial"/>
          <w:szCs w:val="20"/>
        </w:rPr>
        <w:t xml:space="preserve">finanziari </w:t>
      </w:r>
      <w:r w:rsidRPr="00CD066D">
        <w:rPr>
          <w:rFonts w:ascii="Arial" w:hAnsi="Arial" w:cs="Arial"/>
          <w:szCs w:val="20"/>
        </w:rPr>
        <w:t>dall’art</w:t>
      </w:r>
      <w:r>
        <w:rPr>
          <w:rFonts w:ascii="Arial" w:hAnsi="Arial" w:cs="Arial"/>
          <w:szCs w:val="20"/>
        </w:rPr>
        <w:t>icolo</w:t>
      </w:r>
      <w:r w:rsidRPr="00CD066D">
        <w:rPr>
          <w:rFonts w:ascii="Arial" w:hAnsi="Arial" w:cs="Arial"/>
          <w:szCs w:val="20"/>
        </w:rPr>
        <w:t xml:space="preserve"> 10 all’art</w:t>
      </w:r>
      <w:r>
        <w:rPr>
          <w:rFonts w:ascii="Arial" w:hAnsi="Arial" w:cs="Arial"/>
          <w:szCs w:val="20"/>
        </w:rPr>
        <w:t>icolo</w:t>
      </w:r>
      <w:r w:rsidRPr="00CD066D">
        <w:rPr>
          <w:rFonts w:ascii="Arial" w:hAnsi="Arial" w:cs="Arial"/>
          <w:szCs w:val="20"/>
        </w:rPr>
        <w:t xml:space="preserve"> 9 della medesima legge n. 211</w:t>
      </w:r>
      <w:r>
        <w:rPr>
          <w:rFonts w:ascii="Arial" w:hAnsi="Arial" w:cs="Arial"/>
          <w:szCs w:val="20"/>
        </w:rPr>
        <w:t xml:space="preserve"> del </w:t>
      </w:r>
      <w:r w:rsidRPr="00CD066D">
        <w:rPr>
          <w:rFonts w:ascii="Arial" w:hAnsi="Arial" w:cs="Arial"/>
          <w:szCs w:val="20"/>
        </w:rPr>
        <w:t xml:space="preserve">1992 ed è stato ridefinito il quadro delle assegnazioni, </w:t>
      </w:r>
      <w:r>
        <w:rPr>
          <w:rFonts w:ascii="Arial" w:hAnsi="Arial" w:cs="Arial"/>
          <w:szCs w:val="20"/>
        </w:rPr>
        <w:t xml:space="preserve">individuando per </w:t>
      </w:r>
      <w:r w:rsidRPr="00CD066D">
        <w:rPr>
          <w:rFonts w:ascii="Arial" w:hAnsi="Arial" w:cs="Arial"/>
          <w:szCs w:val="20"/>
        </w:rPr>
        <w:t>l’opera</w:t>
      </w:r>
      <w:r>
        <w:rPr>
          <w:rFonts w:ascii="Arial" w:hAnsi="Arial" w:cs="Arial"/>
          <w:szCs w:val="20"/>
        </w:rPr>
        <w:t xml:space="preserve">, a parità di limite d’impegno </w:t>
      </w:r>
      <w:r w:rsidRPr="003A45DC">
        <w:rPr>
          <w:rFonts w:ascii="Arial" w:hAnsi="Arial" w:cs="Arial"/>
          <w:szCs w:val="20"/>
        </w:rPr>
        <w:t>(11.139.148,98 euro)</w:t>
      </w:r>
      <w:r w:rsidRPr="00CD066D">
        <w:rPr>
          <w:rFonts w:ascii="Arial" w:hAnsi="Arial" w:cs="Arial"/>
          <w:szCs w:val="20"/>
        </w:rPr>
        <w:t xml:space="preserve"> un finanziamento</w:t>
      </w:r>
      <w:r w:rsidR="00676A1D">
        <w:rPr>
          <w:rFonts w:ascii="Arial" w:hAnsi="Arial" w:cs="Arial"/>
          <w:szCs w:val="20"/>
        </w:rPr>
        <w:t xml:space="preserve"> </w:t>
      </w:r>
      <w:r w:rsidR="00676A1D" w:rsidRPr="00F86303">
        <w:rPr>
          <w:rFonts w:ascii="Arial" w:hAnsi="Arial" w:cs="Arial"/>
          <w:szCs w:val="20"/>
        </w:rPr>
        <w:t>statale</w:t>
      </w:r>
      <w:r w:rsidRPr="00CD066D">
        <w:rPr>
          <w:rFonts w:ascii="Arial" w:hAnsi="Arial" w:cs="Arial"/>
          <w:szCs w:val="20"/>
        </w:rPr>
        <w:t xml:space="preserve">, in termini di volume d’investimenti, di </w:t>
      </w:r>
      <w:r w:rsidRPr="003A45DC">
        <w:rPr>
          <w:rFonts w:ascii="Arial" w:hAnsi="Arial" w:cs="Arial"/>
          <w:szCs w:val="20"/>
        </w:rPr>
        <w:t>75</w:t>
      </w:r>
      <w:r>
        <w:rPr>
          <w:rFonts w:ascii="Arial" w:hAnsi="Arial" w:cs="Arial"/>
          <w:szCs w:val="20"/>
        </w:rPr>
        <w:t>.</w:t>
      </w:r>
      <w:r w:rsidRPr="003A45DC">
        <w:rPr>
          <w:rFonts w:ascii="Arial" w:hAnsi="Arial" w:cs="Arial"/>
          <w:szCs w:val="20"/>
        </w:rPr>
        <w:t>082</w:t>
      </w:r>
      <w:r>
        <w:rPr>
          <w:rFonts w:ascii="Arial" w:hAnsi="Arial" w:cs="Arial"/>
          <w:szCs w:val="20"/>
        </w:rPr>
        <w:t>.</w:t>
      </w:r>
      <w:r w:rsidRPr="003A45DC">
        <w:rPr>
          <w:rFonts w:ascii="Arial" w:hAnsi="Arial" w:cs="Arial"/>
          <w:szCs w:val="20"/>
        </w:rPr>
        <w:t>503,99</w:t>
      </w:r>
      <w:r>
        <w:rPr>
          <w:rFonts w:ascii="Arial" w:hAnsi="Arial" w:cs="Arial"/>
          <w:szCs w:val="20"/>
        </w:rPr>
        <w:t xml:space="preserve"> euro</w:t>
      </w:r>
      <w:r w:rsidRPr="00CD066D">
        <w:rPr>
          <w:rFonts w:ascii="Arial" w:hAnsi="Arial" w:cs="Arial"/>
          <w:szCs w:val="20"/>
        </w:rPr>
        <w:t xml:space="preserve">, pari al 60% </w:t>
      </w:r>
      <w:r>
        <w:rPr>
          <w:rFonts w:ascii="Arial" w:hAnsi="Arial" w:cs="Arial"/>
          <w:szCs w:val="20"/>
        </w:rPr>
        <w:t xml:space="preserve">di </w:t>
      </w:r>
      <w:r w:rsidRPr="003A45DC">
        <w:rPr>
          <w:rFonts w:ascii="Arial" w:hAnsi="Arial" w:cs="Arial"/>
          <w:szCs w:val="20"/>
        </w:rPr>
        <w:t>125</w:t>
      </w:r>
      <w:r>
        <w:rPr>
          <w:rFonts w:ascii="Arial" w:hAnsi="Arial" w:cs="Arial"/>
          <w:szCs w:val="20"/>
        </w:rPr>
        <w:t>.</w:t>
      </w:r>
      <w:r w:rsidRPr="003A45DC">
        <w:rPr>
          <w:rFonts w:ascii="Arial" w:hAnsi="Arial" w:cs="Arial"/>
          <w:szCs w:val="20"/>
        </w:rPr>
        <w:t>137</w:t>
      </w:r>
      <w:r>
        <w:rPr>
          <w:rFonts w:ascii="Arial" w:hAnsi="Arial" w:cs="Arial"/>
          <w:szCs w:val="20"/>
        </w:rPr>
        <w:t>.</w:t>
      </w:r>
      <w:r w:rsidRPr="003A45DC">
        <w:rPr>
          <w:rFonts w:ascii="Arial" w:hAnsi="Arial" w:cs="Arial"/>
          <w:szCs w:val="20"/>
        </w:rPr>
        <w:t>506,65</w:t>
      </w:r>
      <w:r>
        <w:rPr>
          <w:rFonts w:ascii="Arial" w:hAnsi="Arial" w:cs="Arial"/>
          <w:szCs w:val="20"/>
        </w:rPr>
        <w:t xml:space="preserve"> euro,</w:t>
      </w:r>
      <w:r w:rsidRPr="00CD066D">
        <w:rPr>
          <w:rFonts w:ascii="Arial" w:hAnsi="Arial" w:cs="Arial"/>
          <w:szCs w:val="20"/>
        </w:rPr>
        <w:t xml:space="preserve"> costo dell’opera inizialmente </w:t>
      </w:r>
      <w:r w:rsidRPr="00B1300F">
        <w:rPr>
          <w:rFonts w:ascii="Arial" w:hAnsi="Arial" w:cs="Arial"/>
          <w:szCs w:val="20"/>
        </w:rPr>
        <w:t>approvata</w:t>
      </w:r>
      <w:r w:rsidRPr="00CD066D">
        <w:rPr>
          <w:rFonts w:ascii="Arial" w:hAnsi="Arial" w:cs="Arial"/>
          <w:szCs w:val="20"/>
        </w:rPr>
        <w:t>;</w:t>
      </w:r>
      <w:r>
        <w:rPr>
          <w:rFonts w:ascii="Arial" w:hAnsi="Arial" w:cs="Arial"/>
          <w:szCs w:val="20"/>
        </w:rPr>
        <w:t xml:space="preserve"> </w:t>
      </w:r>
    </w:p>
    <w:p w:rsidR="00D57BF5" w:rsidRPr="0036022D" w:rsidRDefault="00D57BF5" w:rsidP="00C070DD">
      <w:pPr>
        <w:numPr>
          <w:ilvl w:val="0"/>
          <w:numId w:val="6"/>
        </w:numPr>
        <w:autoSpaceDE w:val="0"/>
        <w:autoSpaceDN w:val="0"/>
        <w:adjustRightInd w:val="0"/>
        <w:spacing w:before="120" w:after="120" w:line="240" w:lineRule="auto"/>
        <w:jc w:val="both"/>
        <w:rPr>
          <w:rFonts w:ascii="Arial" w:hAnsi="Arial" w:cs="Arial"/>
        </w:rPr>
      </w:pPr>
      <w:r w:rsidRPr="0036022D">
        <w:rPr>
          <w:rFonts w:ascii="Arial" w:hAnsi="Arial" w:cs="Arial"/>
        </w:rPr>
        <w:t>la delibera 22 marzo 2006, n.</w:t>
      </w:r>
      <w:r>
        <w:rPr>
          <w:rFonts w:ascii="Arial" w:hAnsi="Arial" w:cs="Arial"/>
        </w:rPr>
        <w:t xml:space="preserve"> </w:t>
      </w:r>
      <w:r w:rsidRPr="0036022D">
        <w:rPr>
          <w:rFonts w:ascii="Arial" w:hAnsi="Arial" w:cs="Arial"/>
        </w:rPr>
        <w:t xml:space="preserve">38, pubblicata sulla </w:t>
      </w:r>
      <w:r w:rsidRPr="0036022D">
        <w:rPr>
          <w:rFonts w:ascii="Arial" w:hAnsi="Arial" w:cs="Arial"/>
          <w:i/>
        </w:rPr>
        <w:t>Gazzetta Ufficiale</w:t>
      </w:r>
      <w:r w:rsidRPr="0036022D">
        <w:rPr>
          <w:rFonts w:ascii="Arial" w:hAnsi="Arial" w:cs="Arial"/>
        </w:rPr>
        <w:t xml:space="preserve"> n. 190 del 2006, con la quale</w:t>
      </w:r>
      <w:r>
        <w:rPr>
          <w:rFonts w:ascii="Arial" w:hAnsi="Arial" w:cs="Arial"/>
        </w:rPr>
        <w:t xml:space="preserve">, </w:t>
      </w:r>
      <w:r w:rsidRPr="0036022D">
        <w:rPr>
          <w:rFonts w:ascii="Arial" w:hAnsi="Arial" w:cs="Arial"/>
        </w:rPr>
        <w:t xml:space="preserve">questo Comitato ha confermato per </w:t>
      </w:r>
      <w:r>
        <w:rPr>
          <w:rFonts w:ascii="Arial" w:hAnsi="Arial" w:cs="Arial"/>
        </w:rPr>
        <w:t>l’ulteriore variante del</w:t>
      </w:r>
      <w:r w:rsidRPr="0036022D">
        <w:rPr>
          <w:rFonts w:ascii="Arial" w:hAnsi="Arial" w:cs="Arial"/>
        </w:rPr>
        <w:t>l’intervento</w:t>
      </w:r>
      <w:r>
        <w:rPr>
          <w:rFonts w:ascii="Arial" w:hAnsi="Arial" w:cs="Arial"/>
        </w:rPr>
        <w:t xml:space="preserve"> di cui sopra – </w:t>
      </w:r>
      <w:r w:rsidRPr="0036022D">
        <w:rPr>
          <w:rFonts w:ascii="Arial" w:hAnsi="Arial" w:cs="Arial"/>
        </w:rPr>
        <w:t xml:space="preserve">denominato “Sistema di trasporto pubblico a capacità intermedia a servizio dei corridoi </w:t>
      </w:r>
      <w:r>
        <w:rPr>
          <w:rFonts w:ascii="Arial" w:hAnsi="Arial" w:cs="Arial"/>
        </w:rPr>
        <w:t>EUR</w:t>
      </w:r>
      <w:r w:rsidRPr="0036022D">
        <w:rPr>
          <w:rFonts w:ascii="Arial" w:hAnsi="Arial" w:cs="Arial"/>
        </w:rPr>
        <w:t xml:space="preserve">-Tor de’ Cenci ed </w:t>
      </w:r>
      <w:r w:rsidRPr="00B1300F">
        <w:rPr>
          <w:rFonts w:ascii="Arial" w:hAnsi="Arial" w:cs="Arial"/>
        </w:rPr>
        <w:t>EUR-Tor Pagnotta” e del costo complessivo arrotondato di 154,211 milioni di euro (</w:t>
      </w:r>
      <w:r w:rsidR="00676A1D">
        <w:rPr>
          <w:rFonts w:ascii="Arial" w:hAnsi="Arial" w:cs="Arial"/>
        </w:rPr>
        <w:t xml:space="preserve">ovvero </w:t>
      </w:r>
      <w:r w:rsidRPr="00B1300F">
        <w:rPr>
          <w:rFonts w:ascii="Arial" w:hAnsi="Arial" w:cs="Arial"/>
        </w:rPr>
        <w:t>154.211.138,22 euro</w:t>
      </w:r>
      <w:r w:rsidR="00676A1D">
        <w:rPr>
          <w:rFonts w:ascii="Arial" w:hAnsi="Arial" w:cs="Arial"/>
        </w:rPr>
        <w:t xml:space="preserve"> senza arrotondamento</w:t>
      </w:r>
      <w:r w:rsidRPr="00B1300F">
        <w:rPr>
          <w:rFonts w:ascii="Arial" w:hAnsi="Arial" w:cs="Arial"/>
        </w:rPr>
        <w:t>) – il contributo arrotondato, in termini di volume d’investimenti, di 71,023 milioni di euro (</w:t>
      </w:r>
      <w:r w:rsidR="00676A1D">
        <w:rPr>
          <w:rFonts w:ascii="Arial" w:hAnsi="Arial" w:cs="Arial"/>
        </w:rPr>
        <w:t xml:space="preserve">ovvero </w:t>
      </w:r>
      <w:r w:rsidRPr="00B1300F">
        <w:rPr>
          <w:rFonts w:ascii="Arial" w:hAnsi="Arial" w:cs="Arial"/>
        </w:rPr>
        <w:t>71.022.913,26 euro</w:t>
      </w:r>
      <w:r w:rsidR="00F86303">
        <w:rPr>
          <w:rFonts w:ascii="Arial" w:hAnsi="Arial" w:cs="Arial"/>
        </w:rPr>
        <w:t xml:space="preserve"> </w:t>
      </w:r>
      <w:r w:rsidR="00676A1D">
        <w:rPr>
          <w:rFonts w:ascii="Arial" w:hAnsi="Arial" w:cs="Arial"/>
        </w:rPr>
        <w:t>senza arrotondamento</w:t>
      </w:r>
      <w:r w:rsidRPr="00B1300F">
        <w:rPr>
          <w:rFonts w:ascii="Arial" w:hAnsi="Arial" w:cs="Arial"/>
        </w:rPr>
        <w:t>), destinato all’intervento stesso dal MIT in rapporto al minor costo del progetto (118.371.522,16 euro) approvato dal Ministero stesso per la tipologia d’infrastruttura precedentemente sottoposta a questo Comitato</w:t>
      </w:r>
      <w:r>
        <w:rPr>
          <w:rFonts w:ascii="Arial" w:hAnsi="Arial" w:cs="Arial"/>
        </w:rPr>
        <w:t xml:space="preserve"> (</w:t>
      </w:r>
      <w:r w:rsidRPr="00D76303">
        <w:rPr>
          <w:rFonts w:ascii="Arial" w:hAnsi="Arial" w:cs="Arial"/>
        </w:rPr>
        <w:t xml:space="preserve">decreto </w:t>
      </w:r>
      <w:r>
        <w:rPr>
          <w:rFonts w:ascii="Arial" w:hAnsi="Arial" w:cs="Arial"/>
        </w:rPr>
        <w:t xml:space="preserve">MIT </w:t>
      </w:r>
      <w:r w:rsidRPr="00D76303">
        <w:rPr>
          <w:rFonts w:ascii="Arial" w:hAnsi="Arial" w:cs="Arial"/>
        </w:rPr>
        <w:t>17 dicembre 2002, n. 1753</w:t>
      </w:r>
      <w:r w:rsidR="00F86303">
        <w:rPr>
          <w:rFonts w:ascii="Arial" w:hAnsi="Arial" w:cs="Arial"/>
        </w:rPr>
        <w:t xml:space="preserve"> </w:t>
      </w:r>
      <w:r w:rsidRPr="00D76303">
        <w:rPr>
          <w:rFonts w:ascii="Arial" w:hAnsi="Arial" w:cs="Arial"/>
        </w:rPr>
        <w:t>(TIF 5)/211</w:t>
      </w:r>
      <w:r>
        <w:rPr>
          <w:rFonts w:ascii="Arial" w:hAnsi="Arial" w:cs="Arial"/>
        </w:rPr>
        <w:t>RM);</w:t>
      </w:r>
    </w:p>
    <w:p w:rsidR="00D57BF5" w:rsidRDefault="00D57BF5" w:rsidP="00C070DD">
      <w:pPr>
        <w:pStyle w:val="Corpotesto"/>
        <w:spacing w:before="120" w:after="120"/>
        <w:rPr>
          <w:rFonts w:ascii="Arial" w:hAnsi="Arial" w:cs="Arial"/>
          <w:b/>
          <w:szCs w:val="22"/>
        </w:rPr>
      </w:pPr>
      <w:r>
        <w:rPr>
          <w:rFonts w:ascii="Arial" w:hAnsi="Arial" w:cs="Arial"/>
          <w:b/>
          <w:szCs w:val="22"/>
        </w:rPr>
        <w:t>VISTA</w:t>
      </w:r>
      <w:r w:rsidRPr="006442BD">
        <w:rPr>
          <w:rFonts w:ascii="Arial" w:hAnsi="Arial" w:cs="Arial"/>
          <w:szCs w:val="22"/>
        </w:rPr>
        <w:t xml:space="preserve"> la nota </w:t>
      </w:r>
      <w:smartTag w:uri="urn:schemas-microsoft-com:office:smarttags" w:element="date">
        <w:smartTagPr>
          <w:attr w:name="Year" w:val="2018"/>
          <w:attr w:name="Day" w:val="20"/>
          <w:attr w:name="Month" w:val="11"/>
          <w:attr w:name="ls" w:val="trans"/>
        </w:smartTagPr>
        <w:r w:rsidRPr="006442BD">
          <w:rPr>
            <w:rFonts w:ascii="Arial" w:hAnsi="Arial" w:cs="Arial"/>
            <w:szCs w:val="22"/>
          </w:rPr>
          <w:t>20</w:t>
        </w:r>
        <w:r>
          <w:rPr>
            <w:rFonts w:ascii="Arial" w:hAnsi="Arial" w:cs="Arial"/>
            <w:szCs w:val="22"/>
          </w:rPr>
          <w:t xml:space="preserve"> novembre </w:t>
        </w:r>
        <w:r w:rsidRPr="006442BD">
          <w:rPr>
            <w:rFonts w:ascii="Arial" w:hAnsi="Arial" w:cs="Arial"/>
            <w:szCs w:val="22"/>
          </w:rPr>
          <w:t>2018</w:t>
        </w:r>
      </w:smartTag>
      <w:r w:rsidRPr="006442BD">
        <w:rPr>
          <w:rFonts w:ascii="Arial" w:hAnsi="Arial" w:cs="Arial"/>
          <w:szCs w:val="22"/>
        </w:rPr>
        <w:t>, n. 39715</w:t>
      </w:r>
      <w:r>
        <w:rPr>
          <w:rFonts w:ascii="Arial" w:hAnsi="Arial" w:cs="Arial"/>
          <w:szCs w:val="22"/>
        </w:rPr>
        <w:t>, con la quale il MIT ha trasmesso la proposta d’iscrizione all’ordine del giorno della prima riunione utile di questo Comitato dell’intervento denominato “</w:t>
      </w:r>
      <w:r w:rsidRPr="006442BD">
        <w:rPr>
          <w:rFonts w:ascii="Arial" w:hAnsi="Arial" w:cs="Arial"/>
          <w:szCs w:val="22"/>
        </w:rPr>
        <w:t xml:space="preserve">Sistema di trasporto pubblico a capacità intermedia a servizio dei corridoi </w:t>
      </w:r>
      <w:r>
        <w:rPr>
          <w:rFonts w:ascii="Arial" w:hAnsi="Arial" w:cs="Arial"/>
          <w:szCs w:val="22"/>
        </w:rPr>
        <w:t>EUR-</w:t>
      </w:r>
      <w:r w:rsidRPr="006442BD">
        <w:rPr>
          <w:rFonts w:ascii="Arial" w:hAnsi="Arial" w:cs="Arial"/>
          <w:szCs w:val="22"/>
        </w:rPr>
        <w:t>Tor de</w:t>
      </w:r>
      <w:r>
        <w:rPr>
          <w:rFonts w:ascii="Arial" w:hAnsi="Arial" w:cs="Arial"/>
          <w:szCs w:val="22"/>
        </w:rPr>
        <w:t>’</w:t>
      </w:r>
      <w:r w:rsidRPr="006442BD">
        <w:rPr>
          <w:rFonts w:ascii="Arial" w:hAnsi="Arial" w:cs="Arial"/>
          <w:szCs w:val="22"/>
        </w:rPr>
        <w:t xml:space="preserve"> Cenci e </w:t>
      </w:r>
      <w:r>
        <w:rPr>
          <w:rFonts w:ascii="Arial" w:hAnsi="Arial" w:cs="Arial"/>
          <w:szCs w:val="22"/>
        </w:rPr>
        <w:t>EUR</w:t>
      </w:r>
      <w:r w:rsidRPr="006442BD">
        <w:rPr>
          <w:rFonts w:ascii="Arial" w:hAnsi="Arial" w:cs="Arial"/>
          <w:szCs w:val="22"/>
        </w:rPr>
        <w:t xml:space="preserve"> Laurentina</w:t>
      </w:r>
      <w:r>
        <w:rPr>
          <w:rFonts w:ascii="Arial" w:hAnsi="Arial" w:cs="Arial"/>
          <w:szCs w:val="22"/>
        </w:rPr>
        <w:t>-</w:t>
      </w:r>
      <w:r w:rsidRPr="006442BD">
        <w:rPr>
          <w:rFonts w:ascii="Arial" w:hAnsi="Arial" w:cs="Arial"/>
          <w:szCs w:val="22"/>
        </w:rPr>
        <w:t>Tor Pagnotta</w:t>
      </w:r>
      <w:r>
        <w:rPr>
          <w:rFonts w:ascii="Arial" w:hAnsi="Arial" w:cs="Arial"/>
          <w:szCs w:val="22"/>
        </w:rPr>
        <w:t>”, concernente l’ammissibilità a finanziamento statale della nuova soluzione progettuale del corridoio EUR</w:t>
      </w:r>
      <w:r w:rsidRPr="005A6711">
        <w:rPr>
          <w:rFonts w:ascii="Arial" w:hAnsi="Arial" w:cs="Arial"/>
          <w:szCs w:val="22"/>
        </w:rPr>
        <w:t>-Tor de’ Cenci</w:t>
      </w:r>
      <w:r>
        <w:rPr>
          <w:rFonts w:ascii="Arial" w:hAnsi="Arial" w:cs="Arial"/>
          <w:szCs w:val="22"/>
        </w:rPr>
        <w:t>,</w:t>
      </w:r>
      <w:r w:rsidRPr="005A6711">
        <w:rPr>
          <w:rFonts w:ascii="Arial" w:hAnsi="Arial" w:cs="Arial"/>
          <w:szCs w:val="22"/>
        </w:rPr>
        <w:t xml:space="preserve"> </w:t>
      </w:r>
      <w:r>
        <w:rPr>
          <w:rFonts w:ascii="Arial" w:hAnsi="Arial" w:cs="Arial"/>
          <w:szCs w:val="22"/>
        </w:rPr>
        <w:t>l’autorizzazione all’utilizzo delle economie di gara e la conferma dell’integrale finanziamento statale a suo tempo concesso, trasmettendo la relativa relazione istruttoria;</w:t>
      </w:r>
    </w:p>
    <w:p w:rsidR="00D57BF5" w:rsidRPr="006442BD" w:rsidRDefault="00D57BF5" w:rsidP="00C070DD">
      <w:pPr>
        <w:pStyle w:val="Corpotesto"/>
        <w:spacing w:before="120" w:after="120"/>
        <w:rPr>
          <w:rFonts w:ascii="Arial" w:hAnsi="Arial" w:cs="Arial"/>
          <w:szCs w:val="22"/>
        </w:rPr>
      </w:pPr>
      <w:r w:rsidRPr="00CD5AFB">
        <w:rPr>
          <w:rFonts w:ascii="Arial" w:hAnsi="Arial" w:cs="Arial"/>
          <w:b/>
          <w:szCs w:val="22"/>
        </w:rPr>
        <w:lastRenderedPageBreak/>
        <w:t>VISTE</w:t>
      </w:r>
      <w:r w:rsidRPr="00CD5AFB">
        <w:rPr>
          <w:rFonts w:ascii="Arial" w:hAnsi="Arial" w:cs="Arial"/>
          <w:szCs w:val="22"/>
        </w:rPr>
        <w:t xml:space="preserve"> le note 26 novembre 2018, n. 9274 e n. 9299, con le quali sono state fornite</w:t>
      </w:r>
      <w:r>
        <w:rPr>
          <w:rFonts w:ascii="Arial" w:hAnsi="Arial" w:cs="Arial"/>
          <w:szCs w:val="22"/>
        </w:rPr>
        <w:t xml:space="preserve"> integrazioni dell’istruttoria già trasmessa, e che per la stessa nota </w:t>
      </w:r>
      <w:r w:rsidRPr="00BB27E1">
        <w:rPr>
          <w:rFonts w:ascii="Arial" w:hAnsi="Arial" w:cs="Arial"/>
          <w:szCs w:val="22"/>
        </w:rPr>
        <w:t>26 novembre 2018, n. 9274</w:t>
      </w:r>
      <w:r>
        <w:rPr>
          <w:rFonts w:ascii="Arial" w:hAnsi="Arial" w:cs="Arial"/>
          <w:szCs w:val="22"/>
        </w:rPr>
        <w:t xml:space="preserve"> è stato consegnato nel corso della seduta CIPE il relativo DVD contenente la documentazione allegata alla relazione istruttoria; </w:t>
      </w:r>
    </w:p>
    <w:p w:rsidR="00D57BF5" w:rsidRPr="00B1300F" w:rsidRDefault="00D57BF5" w:rsidP="00C070DD">
      <w:pPr>
        <w:pStyle w:val="Corpotesto"/>
        <w:spacing w:after="120"/>
        <w:rPr>
          <w:rFonts w:ascii="Arial" w:hAnsi="Arial"/>
          <w:szCs w:val="24"/>
        </w:rPr>
      </w:pPr>
      <w:r w:rsidRPr="00103039">
        <w:rPr>
          <w:rFonts w:ascii="Arial" w:hAnsi="Arial"/>
          <w:b/>
          <w:szCs w:val="24"/>
        </w:rPr>
        <w:t>PRESO ATTO</w:t>
      </w:r>
      <w:r w:rsidRPr="00103039">
        <w:rPr>
          <w:rFonts w:ascii="Arial" w:hAnsi="Arial"/>
          <w:szCs w:val="24"/>
        </w:rPr>
        <w:t xml:space="preserve"> delle risultanze dell’istruttoria svolta dal </w:t>
      </w:r>
      <w:r>
        <w:rPr>
          <w:rFonts w:ascii="Arial" w:hAnsi="Arial"/>
          <w:szCs w:val="24"/>
        </w:rPr>
        <w:t>MIT</w:t>
      </w:r>
      <w:r w:rsidRPr="00103039">
        <w:rPr>
          <w:rFonts w:ascii="Arial" w:hAnsi="Arial"/>
          <w:szCs w:val="24"/>
        </w:rPr>
        <w:t xml:space="preserve"> e, in particolare</w:t>
      </w:r>
      <w:r>
        <w:rPr>
          <w:rFonts w:ascii="Arial" w:hAnsi="Arial"/>
          <w:szCs w:val="24"/>
        </w:rPr>
        <w:t xml:space="preserve"> che</w:t>
      </w:r>
      <w:r w:rsidRPr="00B1300F">
        <w:rPr>
          <w:rFonts w:ascii="Arial" w:hAnsi="Arial"/>
          <w:szCs w:val="24"/>
        </w:rPr>
        <w:t>:</w:t>
      </w:r>
    </w:p>
    <w:p w:rsidR="00D57BF5" w:rsidRPr="002017C5" w:rsidRDefault="00D57BF5" w:rsidP="00C070DD">
      <w:pPr>
        <w:numPr>
          <w:ilvl w:val="0"/>
          <w:numId w:val="5"/>
        </w:numPr>
        <w:autoSpaceDE w:val="0"/>
        <w:autoSpaceDN w:val="0"/>
        <w:adjustRightInd w:val="0"/>
        <w:spacing w:before="120" w:after="120" w:line="240" w:lineRule="auto"/>
        <w:ind w:left="426" w:hanging="426"/>
        <w:jc w:val="both"/>
        <w:rPr>
          <w:rFonts w:ascii="Arial" w:hAnsi="Arial" w:cs="Arial"/>
        </w:rPr>
      </w:pPr>
      <w:r w:rsidRPr="002017C5">
        <w:rPr>
          <w:rFonts w:ascii="Arial" w:hAnsi="Arial" w:cs="Arial"/>
        </w:rPr>
        <w:t>l’ultima versione progettuale dell’intervento di cui alla citata delibera di questo Comitato n. 38 del 2006 prevedeva</w:t>
      </w:r>
      <w:r w:rsidRPr="00EB4AFD">
        <w:rPr>
          <w:rFonts w:ascii="Arial" w:hAnsi="Arial" w:cs="Arial"/>
        </w:rPr>
        <w:t>,</w:t>
      </w:r>
      <w:r w:rsidRPr="00EB4AFD">
        <w:t xml:space="preserve"> </w:t>
      </w:r>
      <w:r w:rsidRPr="00EB4AFD">
        <w:rPr>
          <w:rFonts w:ascii="Arial" w:hAnsi="Arial" w:cs="Arial"/>
        </w:rPr>
        <w:t>in luogo dell</w:t>
      </w:r>
      <w:r>
        <w:rPr>
          <w:rFonts w:ascii="Arial" w:hAnsi="Arial" w:cs="Arial"/>
        </w:rPr>
        <w:t xml:space="preserve">a precedente </w:t>
      </w:r>
      <w:r w:rsidRPr="00EB4AFD">
        <w:rPr>
          <w:rFonts w:ascii="Arial" w:hAnsi="Arial" w:cs="Arial"/>
        </w:rPr>
        <w:t>infrastruttura tranviaria di circa 10 km</w:t>
      </w:r>
      <w:r>
        <w:rPr>
          <w:rFonts w:ascii="Arial" w:hAnsi="Arial" w:cs="Arial"/>
        </w:rPr>
        <w:t>,</w:t>
      </w:r>
      <w:r w:rsidRPr="002017C5">
        <w:rPr>
          <w:rFonts w:ascii="Arial" w:hAnsi="Arial" w:cs="Arial"/>
        </w:rPr>
        <w:t xml:space="preserve"> la realizzazione di un sistema filoviario a capacità intermedia, di circa 25 km, a servizio dei corridoi EUR-Tor de’ Cenci</w:t>
      </w:r>
      <w:r>
        <w:rPr>
          <w:rFonts w:ascii="Arial" w:hAnsi="Arial" w:cs="Arial"/>
        </w:rPr>
        <w:t xml:space="preserve"> ed EUR Laurentina-Tor Pagnotta;</w:t>
      </w:r>
    </w:p>
    <w:p w:rsidR="00D57BF5" w:rsidRPr="00C85D22" w:rsidRDefault="00D57BF5" w:rsidP="00C070DD">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Pr>
          <w:rFonts w:ascii="Arial" w:hAnsi="Arial" w:cs="Arial"/>
        </w:rPr>
        <w:t xml:space="preserve">l’intervento </w:t>
      </w:r>
      <w:r w:rsidRPr="00C85D22">
        <w:rPr>
          <w:rFonts w:ascii="Arial" w:hAnsi="Arial" w:cs="Arial"/>
        </w:rPr>
        <w:t>prevedeva</w:t>
      </w:r>
      <w:r>
        <w:rPr>
          <w:rFonts w:ascii="Arial" w:hAnsi="Arial" w:cs="Arial"/>
        </w:rPr>
        <w:t>,</w:t>
      </w:r>
      <w:r w:rsidRPr="00C85D22">
        <w:rPr>
          <w:rFonts w:ascii="Arial" w:hAnsi="Arial" w:cs="Arial"/>
        </w:rPr>
        <w:t xml:space="preserve"> in zona Tor d</w:t>
      </w:r>
      <w:r>
        <w:rPr>
          <w:rFonts w:ascii="Arial" w:hAnsi="Arial" w:cs="Arial"/>
        </w:rPr>
        <w:t>e’</w:t>
      </w:r>
      <w:r w:rsidRPr="00C85D22">
        <w:rPr>
          <w:rFonts w:ascii="Arial" w:hAnsi="Arial" w:cs="Arial"/>
        </w:rPr>
        <w:t xml:space="preserve"> Cenci</w:t>
      </w:r>
      <w:r>
        <w:rPr>
          <w:rFonts w:ascii="Arial" w:hAnsi="Arial" w:cs="Arial"/>
        </w:rPr>
        <w:t>,</w:t>
      </w:r>
      <w:r w:rsidRPr="00C85D22">
        <w:rPr>
          <w:rFonts w:ascii="Arial" w:hAnsi="Arial" w:cs="Arial"/>
        </w:rPr>
        <w:t xml:space="preserve"> un’area adibita a deposito-officina per il ricovero e la manutenzione dei veicoli</w:t>
      </w:r>
      <w:r>
        <w:rPr>
          <w:rFonts w:ascii="Arial" w:hAnsi="Arial" w:cs="Arial"/>
        </w:rPr>
        <w:t xml:space="preserve"> ed era caratterizzato da </w:t>
      </w:r>
      <w:r w:rsidRPr="00C85D22">
        <w:rPr>
          <w:rFonts w:ascii="Arial" w:hAnsi="Arial" w:cs="Arial"/>
        </w:rPr>
        <w:t>un tracciato ramificato, articola</w:t>
      </w:r>
      <w:r>
        <w:rPr>
          <w:rFonts w:ascii="Arial" w:hAnsi="Arial" w:cs="Arial"/>
        </w:rPr>
        <w:t>to</w:t>
      </w:r>
      <w:r w:rsidRPr="00C85D22">
        <w:rPr>
          <w:rFonts w:ascii="Arial" w:hAnsi="Arial" w:cs="Arial"/>
        </w:rPr>
        <w:t xml:space="preserve"> sui seguenti rami:</w:t>
      </w:r>
    </w:p>
    <w:p w:rsidR="00D57BF5" w:rsidRPr="002405A6" w:rsidRDefault="00D57BF5" w:rsidP="00C070DD">
      <w:pPr>
        <w:numPr>
          <w:ilvl w:val="1"/>
          <w:numId w:val="5"/>
        </w:numPr>
        <w:tabs>
          <w:tab w:val="left" w:pos="993"/>
        </w:tabs>
        <w:autoSpaceDE w:val="0"/>
        <w:autoSpaceDN w:val="0"/>
        <w:adjustRightInd w:val="0"/>
        <w:spacing w:before="120" w:after="120" w:line="240" w:lineRule="auto"/>
        <w:ind w:left="993" w:hanging="567"/>
        <w:jc w:val="both"/>
        <w:rPr>
          <w:rFonts w:ascii="Arial" w:hAnsi="Arial" w:cs="Arial"/>
        </w:rPr>
      </w:pPr>
      <w:r w:rsidRPr="002405A6">
        <w:rPr>
          <w:rFonts w:ascii="Arial" w:hAnsi="Arial" w:cs="Arial"/>
        </w:rPr>
        <w:t xml:space="preserve">il ramo principale Tor de’ Cenci-Cristoforo Colombo-Oceani-Palasport-EUR, di 12,4 km, che garantiva il collegamento dalla periferia all’area dell’EUR e alle stazioni della metropolitana B EUR Fermi ed EUR Palasport, e </w:t>
      </w:r>
      <w:r>
        <w:rPr>
          <w:rFonts w:ascii="Arial" w:hAnsi="Arial" w:cs="Arial"/>
        </w:rPr>
        <w:t>i</w:t>
      </w:r>
      <w:r w:rsidRPr="002405A6">
        <w:rPr>
          <w:rFonts w:ascii="Arial" w:hAnsi="Arial" w:cs="Arial"/>
        </w:rPr>
        <w:t xml:space="preserve"> </w:t>
      </w:r>
      <w:r>
        <w:rPr>
          <w:rFonts w:ascii="Arial" w:hAnsi="Arial" w:cs="Arial"/>
        </w:rPr>
        <w:t xml:space="preserve">relativi </w:t>
      </w:r>
      <w:r w:rsidRPr="002405A6">
        <w:rPr>
          <w:rFonts w:ascii="Arial" w:hAnsi="Arial" w:cs="Arial"/>
        </w:rPr>
        <w:t>rami Tor di Valle-Torrino-</w:t>
      </w:r>
      <w:proofErr w:type="spellStart"/>
      <w:r w:rsidRPr="002405A6">
        <w:rPr>
          <w:rFonts w:ascii="Arial" w:hAnsi="Arial" w:cs="Arial"/>
        </w:rPr>
        <w:t>Mezzoca</w:t>
      </w:r>
      <w:r w:rsidR="0034635A">
        <w:rPr>
          <w:rFonts w:ascii="Arial" w:hAnsi="Arial" w:cs="Arial"/>
        </w:rPr>
        <w:t>m</w:t>
      </w:r>
      <w:r w:rsidRPr="002405A6">
        <w:rPr>
          <w:rFonts w:ascii="Arial" w:hAnsi="Arial" w:cs="Arial"/>
        </w:rPr>
        <w:t>mino</w:t>
      </w:r>
      <w:proofErr w:type="spellEnd"/>
      <w:r w:rsidRPr="002405A6">
        <w:rPr>
          <w:rFonts w:ascii="Arial" w:hAnsi="Arial" w:cs="Arial"/>
        </w:rPr>
        <w:t xml:space="preserve">-Cristoforo Colombo, di 2,8 km, e </w:t>
      </w:r>
      <w:proofErr w:type="spellStart"/>
      <w:r w:rsidRPr="002405A6">
        <w:rPr>
          <w:rFonts w:ascii="Arial" w:hAnsi="Arial" w:cs="Arial"/>
        </w:rPr>
        <w:t>Misserville</w:t>
      </w:r>
      <w:proofErr w:type="spellEnd"/>
      <w:r w:rsidRPr="002405A6">
        <w:rPr>
          <w:rFonts w:ascii="Arial" w:hAnsi="Arial" w:cs="Arial"/>
        </w:rPr>
        <w:t xml:space="preserve">-Ospedale IFO-Cristoforo Colombo, di 1,9 km, che si innestavano sul ramo principale in corrispondenza del nodo Cristoforo Colombo, </w:t>
      </w:r>
      <w:r>
        <w:rPr>
          <w:rFonts w:ascii="Arial" w:hAnsi="Arial" w:cs="Arial"/>
        </w:rPr>
        <w:t>nonché</w:t>
      </w:r>
      <w:r w:rsidRPr="002405A6">
        <w:rPr>
          <w:rFonts w:ascii="Arial" w:hAnsi="Arial" w:cs="Arial"/>
        </w:rPr>
        <w:t xml:space="preserve"> Grande Muraglia-Castellaccio-Oceani, di 2,6 km, che si innestava sul ramo principale in corrispondenza del nodo Oceani;</w:t>
      </w:r>
    </w:p>
    <w:p w:rsidR="00D57BF5" w:rsidRPr="002017C5" w:rsidRDefault="00603C4B" w:rsidP="00C070DD">
      <w:pPr>
        <w:tabs>
          <w:tab w:val="left" w:pos="993"/>
        </w:tabs>
        <w:autoSpaceDE w:val="0"/>
        <w:autoSpaceDN w:val="0"/>
        <w:adjustRightInd w:val="0"/>
        <w:spacing w:before="120" w:after="120" w:line="240" w:lineRule="auto"/>
        <w:ind w:left="993" w:hanging="567"/>
        <w:jc w:val="both"/>
        <w:rPr>
          <w:rFonts w:ascii="Arial" w:hAnsi="Arial" w:cs="Arial"/>
        </w:rPr>
      </w:pPr>
      <w:r>
        <w:rPr>
          <w:rFonts w:ascii="Arial" w:hAnsi="Arial" w:cs="Arial"/>
        </w:rPr>
        <w:t>2.2</w:t>
      </w:r>
      <w:r w:rsidR="00D57BF5">
        <w:rPr>
          <w:rFonts w:ascii="Arial" w:hAnsi="Arial" w:cs="Arial"/>
        </w:rPr>
        <w:tab/>
      </w:r>
      <w:r w:rsidR="00D57BF5" w:rsidRPr="002017C5">
        <w:rPr>
          <w:rFonts w:ascii="Arial" w:hAnsi="Arial" w:cs="Arial"/>
        </w:rPr>
        <w:t xml:space="preserve">il ramo Tor Pagnotta-Laurentina-S. Eugenio-Palasport, di 5,6 km, innestato sulla via Laurentina e su viale dell’Umanesimo fino al nodo Palasport e che consentiva il collegamento </w:t>
      </w:r>
      <w:r w:rsidR="00D57BF5">
        <w:rPr>
          <w:rFonts w:ascii="Arial" w:hAnsi="Arial" w:cs="Arial"/>
        </w:rPr>
        <w:t>con il</w:t>
      </w:r>
      <w:r w:rsidR="00D57BF5" w:rsidRPr="002017C5">
        <w:rPr>
          <w:rFonts w:ascii="Arial" w:hAnsi="Arial" w:cs="Arial"/>
        </w:rPr>
        <w:t xml:space="preserve"> polo </w:t>
      </w:r>
      <w:r w:rsidR="00D57BF5">
        <w:rPr>
          <w:rFonts w:ascii="Arial" w:hAnsi="Arial" w:cs="Arial"/>
        </w:rPr>
        <w:t>o</w:t>
      </w:r>
      <w:r w:rsidR="00D57BF5" w:rsidRPr="002017C5">
        <w:rPr>
          <w:rFonts w:ascii="Arial" w:hAnsi="Arial" w:cs="Arial"/>
        </w:rPr>
        <w:t>spedaliero S. Eugenio;</w:t>
      </w:r>
    </w:p>
    <w:p w:rsidR="00D57BF5" w:rsidRPr="00345401" w:rsidRDefault="00D57BF5" w:rsidP="00DB14B4">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Pr>
          <w:rFonts w:ascii="Arial" w:hAnsi="Arial" w:cs="Arial"/>
        </w:rPr>
        <w:t xml:space="preserve">l’intervento </w:t>
      </w:r>
      <w:r w:rsidRPr="00345401">
        <w:rPr>
          <w:rFonts w:ascii="Arial" w:hAnsi="Arial" w:cs="Arial"/>
        </w:rPr>
        <w:t xml:space="preserve">aveva un costo di </w:t>
      </w:r>
      <w:r w:rsidRPr="00B1300F">
        <w:rPr>
          <w:rFonts w:ascii="Arial" w:hAnsi="Arial" w:cs="Arial"/>
        </w:rPr>
        <w:t>154.211.138,22 euro, finanziato con un contributo, in termini di volume di investimenti, di 71.022.913,26</w:t>
      </w:r>
      <w:r w:rsidRPr="00345401">
        <w:rPr>
          <w:rFonts w:ascii="Arial" w:hAnsi="Arial" w:cs="Arial"/>
        </w:rPr>
        <w:t xml:space="preserve"> euro;</w:t>
      </w:r>
    </w:p>
    <w:p w:rsidR="00D57BF5" w:rsidRPr="00B1300F" w:rsidRDefault="00D57BF5" w:rsidP="00E266A1">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sidRPr="00B1300F">
        <w:rPr>
          <w:rFonts w:ascii="Arial" w:hAnsi="Arial" w:cs="Arial"/>
        </w:rPr>
        <w:t>su richiesta del Comune di Roma, il costo dell’intervento ammesso a finanziamento a valere sulla legge n. 211 del 1992 comprendeva le sole spese per lavori dell’infrastruttura filoviaria, fornitura del relativo materiale rotabile, progettazione esecutiva e indagini archeologiche preventive, al lordo d</w:t>
      </w:r>
      <w:r>
        <w:rPr>
          <w:rFonts w:ascii="Arial" w:hAnsi="Arial" w:cs="Arial"/>
        </w:rPr>
        <w:t>ell’</w:t>
      </w:r>
      <w:r w:rsidRPr="00B1300F">
        <w:rPr>
          <w:rFonts w:ascii="Arial" w:hAnsi="Arial" w:cs="Arial"/>
        </w:rPr>
        <w:t>IVA;</w:t>
      </w:r>
    </w:p>
    <w:p w:rsidR="00D57BF5" w:rsidRPr="00B1300F" w:rsidRDefault="00D57BF5" w:rsidP="00F86303">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sidRPr="00B1300F">
        <w:rPr>
          <w:rFonts w:ascii="Arial" w:hAnsi="Arial" w:cs="Arial"/>
        </w:rPr>
        <w:t xml:space="preserve">con decreto dirigenziale 10 gennaio 2008, </w:t>
      </w:r>
      <w:r w:rsidRPr="00C070DD">
        <w:rPr>
          <w:rFonts w:ascii="Arial" w:hAnsi="Arial" w:cs="Arial"/>
        </w:rPr>
        <w:t>RD</w:t>
      </w:r>
      <w:r w:rsidRPr="00B1300F">
        <w:rPr>
          <w:rFonts w:ascii="Arial" w:hAnsi="Arial" w:cs="Arial"/>
        </w:rPr>
        <w:t xml:space="preserve"> </w:t>
      </w:r>
      <w:r>
        <w:rPr>
          <w:rFonts w:ascii="Arial" w:hAnsi="Arial" w:cs="Arial"/>
        </w:rPr>
        <w:t xml:space="preserve">n. </w:t>
      </w:r>
      <w:r w:rsidRPr="00B1300F">
        <w:rPr>
          <w:rFonts w:ascii="Arial" w:hAnsi="Arial" w:cs="Arial"/>
        </w:rPr>
        <w:t>120, il MIT ha approvato il progetto dei due corridoi EUR-Tor de’ Cenci ed EUR Laurentina-Tor Pagnotta ed il relativo quadro economico, riferito ai soli costi sopra richiamati, per un importo complessivo di 131.437.667,64 euro (IVA inclusa) ed ha confermato il contributo statale di 71.022.913,26 euro, pari al 54,035% del costo approvato;</w:t>
      </w:r>
    </w:p>
    <w:p w:rsidR="00D57BF5" w:rsidRPr="00B1300F" w:rsidRDefault="00D57BF5" w:rsidP="00C070DD">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sidRPr="00B1300F">
        <w:rPr>
          <w:rFonts w:ascii="Arial" w:hAnsi="Arial" w:cs="Arial"/>
        </w:rPr>
        <w:t xml:space="preserve">con ordinanza 18 gennaio 2008, n. 85, il Sindaco di Roma, quale Commissario delegato per l’attuazione degli interventi volti a fronteggiare l’emergenza dichiarata nel territorio della Capitale, ha approvato il progetto definitivo del “primo stralcio funzionale ‘infrastruttura filoviaria’ dei corridoi EUR-Tor de’ Cenci ed EUR Laurentina-Tor Pagnotta”, comprensivo di spese non finanziabili a carico della </w:t>
      </w:r>
      <w:r w:rsidR="0015601D" w:rsidRPr="00B1300F">
        <w:rPr>
          <w:rFonts w:ascii="Arial" w:hAnsi="Arial" w:cs="Arial"/>
        </w:rPr>
        <w:lastRenderedPageBreak/>
        <w:t xml:space="preserve">citata </w:t>
      </w:r>
      <w:r w:rsidRPr="00B1300F">
        <w:rPr>
          <w:rFonts w:ascii="Arial" w:hAnsi="Arial" w:cs="Arial"/>
        </w:rPr>
        <w:t>legge n. 211 del 1992, e ha affidato le funzioni di stazione appaltante a Roma Metropolitane S.r.l.;</w:t>
      </w:r>
    </w:p>
    <w:p w:rsidR="00D57BF5" w:rsidRPr="00B1300F" w:rsidRDefault="00D57BF5" w:rsidP="00C070DD">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sidRPr="00B1300F">
        <w:rPr>
          <w:rFonts w:ascii="Arial" w:hAnsi="Arial" w:cs="Arial"/>
        </w:rPr>
        <w:t>la procedura di gara per l’appalto integrato relativo alla progettazione esecutiva e all’esecuzione dei lavori, sia per le linee filoviarie oggetto della presente delibera sia per le linee automobilistiche previste nel progetto globale, e che il relativo contratto di appalto è stato stipulato a gennaio 2009;</w:t>
      </w:r>
    </w:p>
    <w:p w:rsidR="00D57BF5" w:rsidRPr="00B1300F" w:rsidRDefault="00D57BF5" w:rsidP="00C070DD">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sidRPr="00B1300F">
        <w:rPr>
          <w:rFonts w:ascii="Arial" w:hAnsi="Arial" w:cs="Arial"/>
        </w:rPr>
        <w:t>per problematiche relative al corridoio EUR-Tor de’ Cenci, a maggio 2010 la stazione appaltante ha approvato il progetto esecutivo del solo corridoio EUR Laurentina-Tor Pagnotta e a giugno 2010 ha sottoscritto il relativo verbale d’inizio lavori;</w:t>
      </w:r>
    </w:p>
    <w:p w:rsidR="00D57BF5" w:rsidRPr="00B1300F" w:rsidRDefault="00D57BF5" w:rsidP="00C070DD">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sidRPr="00B1300F">
        <w:rPr>
          <w:rFonts w:ascii="Arial" w:hAnsi="Arial" w:cs="Arial"/>
        </w:rPr>
        <w:t>con ordinanza del Sindaco di Roma 27 ottobre 2011, n. 405, sono state approvate varianti al progetto definitivo di entrambi i citati corridoi;</w:t>
      </w:r>
    </w:p>
    <w:p w:rsidR="00D57BF5" w:rsidRPr="00B1300F" w:rsidRDefault="00D57BF5" w:rsidP="00C070DD">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sidRPr="00B1300F">
        <w:rPr>
          <w:rFonts w:ascii="Arial" w:hAnsi="Arial" w:cs="Arial"/>
        </w:rPr>
        <w:t>a seguito di un’ulteriore proposta di variante relativa al corridoio EUR-Tor de’ Cenci, è stato elaborato un nuovo progetto definitivo “versione settembre 2015” che semplificava il progetto approvato con le citate ordinanze n. 85 del 2008 e n. 405 del 2011, consentendo, tra l’altro, di ridurre i tempi di esecuzione, semplificare le cantierizzazioni, superare criticità rilevate dopo l’approvazione del progetto definitivo per l’indisponibilità di aree e ridurre i costi di realizzazione degli interventi;</w:t>
      </w:r>
    </w:p>
    <w:p w:rsidR="00D57BF5" w:rsidRDefault="00D57BF5" w:rsidP="00C070DD">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Pr>
          <w:rFonts w:ascii="Arial" w:hAnsi="Arial" w:cs="Arial"/>
        </w:rPr>
        <w:t>l</w:t>
      </w:r>
      <w:r w:rsidRPr="00C7757A">
        <w:rPr>
          <w:rFonts w:ascii="Arial" w:hAnsi="Arial" w:cs="Arial"/>
        </w:rPr>
        <w:t xml:space="preserve">a proposta di variante </w:t>
      </w:r>
      <w:r>
        <w:rPr>
          <w:rFonts w:ascii="Arial" w:hAnsi="Arial" w:cs="Arial"/>
        </w:rPr>
        <w:t>riguardava la realizzazione di</w:t>
      </w:r>
      <w:r w:rsidRPr="00C7757A">
        <w:rPr>
          <w:rFonts w:ascii="Arial" w:hAnsi="Arial" w:cs="Arial"/>
        </w:rPr>
        <w:t xml:space="preserve"> un percorso, quasi interamente elettrificato e in buona parte in corsia preferenziale</w:t>
      </w:r>
      <w:r>
        <w:rPr>
          <w:rFonts w:ascii="Arial" w:hAnsi="Arial" w:cs="Arial"/>
        </w:rPr>
        <w:t xml:space="preserve">, che, abbandonando il </w:t>
      </w:r>
      <w:r w:rsidRPr="00C7757A">
        <w:rPr>
          <w:rFonts w:ascii="Arial" w:hAnsi="Arial" w:cs="Arial"/>
        </w:rPr>
        <w:t>tracciato di via C</w:t>
      </w:r>
      <w:r>
        <w:rPr>
          <w:rFonts w:ascii="Arial" w:hAnsi="Arial" w:cs="Arial"/>
        </w:rPr>
        <w:t>ristoforo</w:t>
      </w:r>
      <w:r w:rsidRPr="00C7757A">
        <w:rPr>
          <w:rFonts w:ascii="Arial" w:hAnsi="Arial" w:cs="Arial"/>
        </w:rPr>
        <w:t xml:space="preserve"> Colombo, si sviluppava su</w:t>
      </w:r>
      <w:r>
        <w:rPr>
          <w:rFonts w:ascii="Arial" w:hAnsi="Arial" w:cs="Arial"/>
        </w:rPr>
        <w:t>lla</w:t>
      </w:r>
      <w:r w:rsidRPr="00C7757A">
        <w:rPr>
          <w:rFonts w:ascii="Arial" w:hAnsi="Arial" w:cs="Arial"/>
        </w:rPr>
        <w:t xml:space="preserve"> viabilità esistente </w:t>
      </w:r>
      <w:r>
        <w:rPr>
          <w:rFonts w:ascii="Arial" w:hAnsi="Arial" w:cs="Arial"/>
        </w:rPr>
        <w:t>n</w:t>
      </w:r>
      <w:r w:rsidRPr="00C7757A">
        <w:rPr>
          <w:rFonts w:ascii="Arial" w:hAnsi="Arial" w:cs="Arial"/>
        </w:rPr>
        <w:t xml:space="preserve">ei quartieri di </w:t>
      </w:r>
      <w:proofErr w:type="spellStart"/>
      <w:r w:rsidRPr="00C7757A">
        <w:rPr>
          <w:rFonts w:ascii="Arial" w:hAnsi="Arial" w:cs="Arial"/>
        </w:rPr>
        <w:t>Spinaceto</w:t>
      </w:r>
      <w:proofErr w:type="spellEnd"/>
      <w:r w:rsidRPr="00C7757A">
        <w:rPr>
          <w:rFonts w:ascii="Arial" w:hAnsi="Arial" w:cs="Arial"/>
        </w:rPr>
        <w:t xml:space="preserve">, Torrino, </w:t>
      </w:r>
      <w:proofErr w:type="spellStart"/>
      <w:r w:rsidRPr="00C7757A">
        <w:rPr>
          <w:rFonts w:ascii="Arial" w:hAnsi="Arial" w:cs="Arial"/>
        </w:rPr>
        <w:t>Mezzocammino</w:t>
      </w:r>
      <w:proofErr w:type="spellEnd"/>
      <w:r w:rsidRPr="00C7757A">
        <w:rPr>
          <w:rFonts w:ascii="Arial" w:hAnsi="Arial" w:cs="Arial"/>
        </w:rPr>
        <w:t>, Castellaccio e Tor di Valle</w:t>
      </w:r>
      <w:r>
        <w:rPr>
          <w:rFonts w:ascii="Arial" w:hAnsi="Arial" w:cs="Arial"/>
        </w:rPr>
        <w:t xml:space="preserve">, </w:t>
      </w:r>
      <w:r w:rsidRPr="00C7757A">
        <w:rPr>
          <w:rFonts w:ascii="Arial" w:hAnsi="Arial" w:cs="Arial"/>
        </w:rPr>
        <w:t>perme</w:t>
      </w:r>
      <w:r>
        <w:rPr>
          <w:rFonts w:ascii="Arial" w:hAnsi="Arial" w:cs="Arial"/>
        </w:rPr>
        <w:t>ttend</w:t>
      </w:r>
      <w:r w:rsidRPr="00C7757A">
        <w:rPr>
          <w:rFonts w:ascii="Arial" w:hAnsi="Arial" w:cs="Arial"/>
        </w:rPr>
        <w:t xml:space="preserve">o </w:t>
      </w:r>
      <w:r>
        <w:rPr>
          <w:rFonts w:ascii="Arial" w:hAnsi="Arial" w:cs="Arial"/>
        </w:rPr>
        <w:t>lo</w:t>
      </w:r>
      <w:r w:rsidRPr="00C7757A">
        <w:rPr>
          <w:rFonts w:ascii="Arial" w:hAnsi="Arial" w:cs="Arial"/>
        </w:rPr>
        <w:t xml:space="preserve"> scambio con altri sistemi di trasporto a Tor di Valle</w:t>
      </w:r>
      <w:r>
        <w:rPr>
          <w:rFonts w:ascii="Arial" w:hAnsi="Arial" w:cs="Arial"/>
        </w:rPr>
        <w:t>;</w:t>
      </w:r>
    </w:p>
    <w:p w:rsidR="00D57BF5" w:rsidRDefault="00D57BF5" w:rsidP="00C070DD">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sidRPr="005D10F1">
        <w:rPr>
          <w:rFonts w:ascii="Arial" w:hAnsi="Arial" w:cs="Arial"/>
        </w:rPr>
        <w:t xml:space="preserve">a seguito di osservazioni sulla predetta variante, è stata elaborata una nuova proposta </w:t>
      </w:r>
      <w:r>
        <w:rPr>
          <w:rFonts w:ascii="Arial" w:hAnsi="Arial" w:cs="Arial"/>
        </w:rPr>
        <w:t xml:space="preserve">progettuale </w:t>
      </w:r>
      <w:r w:rsidRPr="005D10F1">
        <w:rPr>
          <w:rFonts w:ascii="Arial" w:hAnsi="Arial" w:cs="Arial"/>
        </w:rPr>
        <w:t xml:space="preserve">denominata “Colombo 2”, </w:t>
      </w:r>
      <w:r>
        <w:rPr>
          <w:rFonts w:ascii="Arial" w:hAnsi="Arial" w:cs="Arial"/>
        </w:rPr>
        <w:t xml:space="preserve">che, </w:t>
      </w:r>
      <w:r w:rsidRPr="00443397">
        <w:rPr>
          <w:rFonts w:ascii="Arial" w:hAnsi="Arial" w:cs="Arial"/>
        </w:rPr>
        <w:t>mant</w:t>
      </w:r>
      <w:r>
        <w:rPr>
          <w:rFonts w:ascii="Arial" w:hAnsi="Arial" w:cs="Arial"/>
        </w:rPr>
        <w:t xml:space="preserve">enendo </w:t>
      </w:r>
      <w:r w:rsidRPr="00443397">
        <w:rPr>
          <w:rFonts w:ascii="Arial" w:hAnsi="Arial" w:cs="Arial"/>
        </w:rPr>
        <w:t xml:space="preserve">sostanzialmente il percorso approvato </w:t>
      </w:r>
      <w:r>
        <w:rPr>
          <w:rFonts w:ascii="Arial" w:hAnsi="Arial" w:cs="Arial"/>
        </w:rPr>
        <w:t>con le citate ordinanze n.</w:t>
      </w:r>
      <w:r w:rsidRPr="00443397">
        <w:rPr>
          <w:rFonts w:ascii="Arial" w:hAnsi="Arial" w:cs="Arial"/>
        </w:rPr>
        <w:t xml:space="preserve"> 85 e </w:t>
      </w:r>
      <w:r>
        <w:rPr>
          <w:rFonts w:ascii="Arial" w:hAnsi="Arial" w:cs="Arial"/>
        </w:rPr>
        <w:t>n. 405,</w:t>
      </w:r>
      <w:r w:rsidRPr="005D10F1">
        <w:rPr>
          <w:rFonts w:ascii="Arial" w:hAnsi="Arial" w:cs="Arial"/>
        </w:rPr>
        <w:t xml:space="preserve"> prevede un tracciato in sede protetta ed </w:t>
      </w:r>
      <w:r w:rsidRPr="00210D27">
        <w:rPr>
          <w:rFonts w:ascii="Arial" w:hAnsi="Arial" w:cs="Arial"/>
        </w:rPr>
        <w:t>elettrificata lungo via Cristoforo Colombo, dall’intersezione con via Maestrini fino a piazzale Nervi, incluse</w:t>
      </w:r>
      <w:r w:rsidRPr="005D10F1">
        <w:rPr>
          <w:rFonts w:ascii="Arial" w:hAnsi="Arial" w:cs="Arial"/>
        </w:rPr>
        <w:t xml:space="preserve"> l</w:t>
      </w:r>
      <w:r>
        <w:rPr>
          <w:rFonts w:ascii="Arial" w:hAnsi="Arial" w:cs="Arial"/>
        </w:rPr>
        <w:t>e</w:t>
      </w:r>
      <w:r w:rsidRPr="005D10F1">
        <w:rPr>
          <w:rFonts w:ascii="Arial" w:hAnsi="Arial" w:cs="Arial"/>
        </w:rPr>
        <w:t xml:space="preserve"> zon</w:t>
      </w:r>
      <w:r>
        <w:rPr>
          <w:rFonts w:ascii="Arial" w:hAnsi="Arial" w:cs="Arial"/>
        </w:rPr>
        <w:t>e di</w:t>
      </w:r>
      <w:r w:rsidRPr="005D10F1">
        <w:rPr>
          <w:rFonts w:ascii="Arial" w:hAnsi="Arial" w:cs="Arial"/>
        </w:rPr>
        <w:t xml:space="preserve"> </w:t>
      </w:r>
      <w:proofErr w:type="spellStart"/>
      <w:r w:rsidRPr="005D10F1">
        <w:rPr>
          <w:rFonts w:ascii="Arial" w:hAnsi="Arial" w:cs="Arial"/>
        </w:rPr>
        <w:t>Spinaceto</w:t>
      </w:r>
      <w:proofErr w:type="spellEnd"/>
      <w:r>
        <w:rPr>
          <w:rFonts w:ascii="Arial" w:hAnsi="Arial" w:cs="Arial"/>
        </w:rPr>
        <w:t xml:space="preserve"> e </w:t>
      </w:r>
      <w:r w:rsidRPr="005D10F1">
        <w:rPr>
          <w:rFonts w:ascii="Arial" w:hAnsi="Arial" w:cs="Arial"/>
        </w:rPr>
        <w:t>Tor d</w:t>
      </w:r>
      <w:r>
        <w:rPr>
          <w:rFonts w:ascii="Arial" w:hAnsi="Arial" w:cs="Arial"/>
        </w:rPr>
        <w:t>e’</w:t>
      </w:r>
      <w:r w:rsidRPr="005D10F1">
        <w:rPr>
          <w:rFonts w:ascii="Arial" w:hAnsi="Arial" w:cs="Arial"/>
        </w:rPr>
        <w:t xml:space="preserve"> Cenci, mentre il servizio nei quartieri di Torrino, </w:t>
      </w:r>
      <w:proofErr w:type="spellStart"/>
      <w:r w:rsidRPr="005D10F1">
        <w:rPr>
          <w:rFonts w:ascii="Arial" w:hAnsi="Arial" w:cs="Arial"/>
        </w:rPr>
        <w:t>Mezzocammino</w:t>
      </w:r>
      <w:proofErr w:type="spellEnd"/>
      <w:r w:rsidRPr="005D10F1">
        <w:rPr>
          <w:rFonts w:ascii="Arial" w:hAnsi="Arial" w:cs="Arial"/>
        </w:rPr>
        <w:t xml:space="preserve"> e Castellaccio </w:t>
      </w:r>
      <w:r>
        <w:rPr>
          <w:rFonts w:ascii="Arial" w:hAnsi="Arial" w:cs="Arial"/>
        </w:rPr>
        <w:t>è previsto su</w:t>
      </w:r>
      <w:r w:rsidRPr="005D10F1">
        <w:rPr>
          <w:rFonts w:ascii="Arial" w:hAnsi="Arial" w:cs="Arial"/>
        </w:rPr>
        <w:t xml:space="preserve"> percorsi non elettrificati</w:t>
      </w:r>
      <w:r>
        <w:rPr>
          <w:rFonts w:ascii="Arial" w:hAnsi="Arial" w:cs="Arial"/>
        </w:rPr>
        <w:t>;</w:t>
      </w:r>
    </w:p>
    <w:p w:rsidR="00D57BF5" w:rsidRPr="004420E9" w:rsidRDefault="00D57BF5" w:rsidP="00C070DD">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sidRPr="004420E9">
        <w:rPr>
          <w:rFonts w:ascii="Arial" w:hAnsi="Arial" w:cs="Arial"/>
        </w:rPr>
        <w:t xml:space="preserve">la variante “Colombo 2” presenta una peculiarità nel tratto tra il fosso di Vallerano e lo svincolo Colombo/Pontina, dove dovrebbe essere realizzato un sottopasso, ma che per dar corso ad un’opera funzionale lungo l’intero tracciato elettrificato </w:t>
      </w:r>
      <w:r w:rsidRPr="004420E9">
        <w:rPr>
          <w:rFonts w:ascii="Arial" w:hAnsi="Arial" w:cs="Arial"/>
          <w:caps/>
        </w:rPr>
        <w:t>eur-</w:t>
      </w:r>
      <w:r w:rsidRPr="004420E9">
        <w:rPr>
          <w:rFonts w:ascii="Arial" w:hAnsi="Arial" w:cs="Arial"/>
        </w:rPr>
        <w:t xml:space="preserve">Tor de’ Cenci, contenendo i relativi costi entro il finanziamento disponibile, è stata prevista una soluzione provvisoria denominata “Colombo 2 – intersezione semaforizzata”, del costo di circa 40 milioni di euro, che prevede l’intersecazione a raso della carreggiata di </w:t>
      </w:r>
      <w:r>
        <w:rPr>
          <w:rFonts w:ascii="Arial" w:hAnsi="Arial" w:cs="Arial"/>
        </w:rPr>
        <w:t>v</w:t>
      </w:r>
      <w:r w:rsidRPr="004420E9">
        <w:rPr>
          <w:rFonts w:ascii="Arial" w:hAnsi="Arial" w:cs="Arial"/>
        </w:rPr>
        <w:t xml:space="preserve">ia </w:t>
      </w:r>
      <w:r w:rsidRPr="00210D27">
        <w:rPr>
          <w:rFonts w:ascii="Arial" w:hAnsi="Arial" w:cs="Arial"/>
        </w:rPr>
        <w:t>Cristoforo</w:t>
      </w:r>
      <w:r w:rsidRPr="004420E9">
        <w:rPr>
          <w:rFonts w:ascii="Arial" w:hAnsi="Arial" w:cs="Arial"/>
        </w:rPr>
        <w:t xml:space="preserve"> Colombo, direzione Roma, nell’attuale punto di sfiocco Pontina-</w:t>
      </w:r>
      <w:r w:rsidRPr="00210D27">
        <w:rPr>
          <w:rFonts w:ascii="Arial" w:hAnsi="Arial" w:cs="Arial"/>
        </w:rPr>
        <w:t>Cristoforo</w:t>
      </w:r>
      <w:r w:rsidRPr="004420E9">
        <w:rPr>
          <w:rFonts w:ascii="Arial" w:hAnsi="Arial" w:cs="Arial"/>
        </w:rPr>
        <w:t xml:space="preserve"> Colombo;</w:t>
      </w:r>
    </w:p>
    <w:p w:rsidR="00D57BF5" w:rsidRDefault="00D57BF5" w:rsidP="00C070DD">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sidRPr="003D39EE">
        <w:rPr>
          <w:rFonts w:ascii="Arial" w:hAnsi="Arial" w:cs="Arial"/>
        </w:rPr>
        <w:t xml:space="preserve">la citata intersezione sarà soggetta a regolamentazione semaforica, con una fase prioritaria a chiamata dai filobus in entrambe le direzioni, e che l’ottimizzazione del </w:t>
      </w:r>
      <w:r w:rsidRPr="003D39EE">
        <w:rPr>
          <w:rFonts w:ascii="Arial" w:hAnsi="Arial" w:cs="Arial"/>
        </w:rPr>
        <w:lastRenderedPageBreak/>
        <w:t>corridoio sarà realizzata in fase successiva</w:t>
      </w:r>
      <w:r>
        <w:rPr>
          <w:rFonts w:ascii="Arial" w:hAnsi="Arial" w:cs="Arial"/>
        </w:rPr>
        <w:t>,</w:t>
      </w:r>
      <w:r w:rsidRPr="003D39EE">
        <w:rPr>
          <w:rFonts w:ascii="Arial" w:hAnsi="Arial" w:cs="Arial"/>
        </w:rPr>
        <w:t xml:space="preserve"> con la realizzazione del </w:t>
      </w:r>
      <w:r>
        <w:rPr>
          <w:rFonts w:ascii="Arial" w:hAnsi="Arial" w:cs="Arial"/>
        </w:rPr>
        <w:t xml:space="preserve">citato </w:t>
      </w:r>
      <w:r w:rsidRPr="003D39EE">
        <w:rPr>
          <w:rFonts w:ascii="Arial" w:hAnsi="Arial" w:cs="Arial"/>
        </w:rPr>
        <w:t>sottopasso</w:t>
      </w:r>
      <w:r>
        <w:rPr>
          <w:rFonts w:ascii="Arial" w:hAnsi="Arial" w:cs="Arial"/>
        </w:rPr>
        <w:t xml:space="preserve">, non appena disponibili ulteriori risorse, che potrebbero consentire anche l’elettrificazione delle tratte che interessano le zone di </w:t>
      </w:r>
      <w:r w:rsidRPr="00A8540D">
        <w:rPr>
          <w:rFonts w:ascii="Arial" w:hAnsi="Arial" w:cs="Arial"/>
        </w:rPr>
        <w:t>Torrino</w:t>
      </w:r>
      <w:r>
        <w:rPr>
          <w:rFonts w:ascii="Arial" w:hAnsi="Arial" w:cs="Arial"/>
        </w:rPr>
        <w:t xml:space="preserve">, </w:t>
      </w:r>
      <w:proofErr w:type="spellStart"/>
      <w:r w:rsidRPr="00A8540D">
        <w:rPr>
          <w:rFonts w:ascii="Arial" w:hAnsi="Arial" w:cs="Arial"/>
        </w:rPr>
        <w:t>Mezzocam</w:t>
      </w:r>
      <w:r w:rsidR="00B63E79">
        <w:rPr>
          <w:rFonts w:ascii="Arial" w:hAnsi="Arial" w:cs="Arial"/>
        </w:rPr>
        <w:t>mi</w:t>
      </w:r>
      <w:r w:rsidRPr="00A8540D">
        <w:rPr>
          <w:rFonts w:ascii="Arial" w:hAnsi="Arial" w:cs="Arial"/>
        </w:rPr>
        <w:t>no</w:t>
      </w:r>
      <w:proofErr w:type="spellEnd"/>
      <w:r w:rsidRPr="00A8540D">
        <w:rPr>
          <w:rFonts w:ascii="Arial" w:hAnsi="Arial" w:cs="Arial"/>
        </w:rPr>
        <w:t xml:space="preserve"> e </w:t>
      </w:r>
      <w:r w:rsidRPr="00B1300F">
        <w:rPr>
          <w:rFonts w:ascii="Arial" w:hAnsi="Arial" w:cs="Arial"/>
        </w:rPr>
        <w:t>Castellaccio</w:t>
      </w:r>
      <w:r>
        <w:rPr>
          <w:rFonts w:ascii="Arial" w:hAnsi="Arial" w:cs="Arial"/>
        </w:rPr>
        <w:t>;</w:t>
      </w:r>
    </w:p>
    <w:p w:rsidR="00D57BF5" w:rsidRDefault="00D57BF5" w:rsidP="00C070DD">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Pr>
          <w:rFonts w:ascii="Arial" w:hAnsi="Arial" w:cs="Arial"/>
        </w:rPr>
        <w:t xml:space="preserve">a settembre 2017, il MIT si è espresso favorevolmente sulla </w:t>
      </w:r>
      <w:r w:rsidRPr="00A91360">
        <w:rPr>
          <w:rFonts w:ascii="Arial" w:hAnsi="Arial" w:cs="Arial"/>
        </w:rPr>
        <w:t>variante “Colombo 2 – intersezione semaforizzata”</w:t>
      </w:r>
      <w:r>
        <w:rPr>
          <w:rFonts w:ascii="Arial" w:hAnsi="Arial" w:cs="Arial"/>
        </w:rPr>
        <w:t xml:space="preserve">, che </w:t>
      </w:r>
      <w:r w:rsidRPr="00E95EC4">
        <w:rPr>
          <w:rFonts w:ascii="Arial" w:hAnsi="Arial" w:cs="Arial"/>
        </w:rPr>
        <w:t xml:space="preserve">mantiene sostanzialmente il tracciato del progetto approvato nel 2008, prevedendo la realizzazione del corridoio in sede protetta ed elettrificata lungo la via C. Colombo, da via Maestrini a piazzale Nervi, e confermando l’elettrificazione e le corsie preferenziali dei quartieri </w:t>
      </w:r>
      <w:proofErr w:type="spellStart"/>
      <w:r w:rsidRPr="00E95EC4">
        <w:rPr>
          <w:rFonts w:ascii="Arial" w:hAnsi="Arial" w:cs="Arial"/>
        </w:rPr>
        <w:t>Spinaceto</w:t>
      </w:r>
      <w:proofErr w:type="spellEnd"/>
      <w:r w:rsidRPr="00E95EC4">
        <w:rPr>
          <w:rFonts w:ascii="Arial" w:hAnsi="Arial" w:cs="Arial"/>
        </w:rPr>
        <w:t xml:space="preserve"> e Tor d</w:t>
      </w:r>
      <w:r>
        <w:rPr>
          <w:rFonts w:ascii="Arial" w:hAnsi="Arial" w:cs="Arial"/>
        </w:rPr>
        <w:t>e’</w:t>
      </w:r>
      <w:r w:rsidRPr="00E95EC4">
        <w:rPr>
          <w:rFonts w:ascii="Arial" w:hAnsi="Arial" w:cs="Arial"/>
        </w:rPr>
        <w:t xml:space="preserve"> Cenci, mentre </w:t>
      </w:r>
      <w:r>
        <w:rPr>
          <w:rFonts w:ascii="Arial" w:hAnsi="Arial" w:cs="Arial"/>
        </w:rPr>
        <w:t>nei</w:t>
      </w:r>
      <w:r w:rsidRPr="00E95EC4">
        <w:rPr>
          <w:rFonts w:ascii="Arial" w:hAnsi="Arial" w:cs="Arial"/>
        </w:rPr>
        <w:t xml:space="preserve"> quartieri Torrino, </w:t>
      </w:r>
      <w:proofErr w:type="spellStart"/>
      <w:r w:rsidRPr="00E95EC4">
        <w:rPr>
          <w:rFonts w:ascii="Arial" w:hAnsi="Arial" w:cs="Arial"/>
        </w:rPr>
        <w:t>Mezzocam</w:t>
      </w:r>
      <w:r w:rsidR="00B63E79">
        <w:rPr>
          <w:rFonts w:ascii="Arial" w:hAnsi="Arial" w:cs="Arial"/>
        </w:rPr>
        <w:t>m</w:t>
      </w:r>
      <w:r w:rsidRPr="00E95EC4">
        <w:rPr>
          <w:rFonts w:ascii="Arial" w:hAnsi="Arial" w:cs="Arial"/>
        </w:rPr>
        <w:t>ino</w:t>
      </w:r>
      <w:proofErr w:type="spellEnd"/>
      <w:r w:rsidRPr="00E95EC4">
        <w:rPr>
          <w:rFonts w:ascii="Arial" w:hAnsi="Arial" w:cs="Arial"/>
        </w:rPr>
        <w:t xml:space="preserve"> e Castellaccio </w:t>
      </w:r>
      <w:r>
        <w:rPr>
          <w:rFonts w:ascii="Arial" w:hAnsi="Arial" w:cs="Arial"/>
        </w:rPr>
        <w:t>saranno</w:t>
      </w:r>
      <w:r w:rsidRPr="00E95EC4">
        <w:rPr>
          <w:rFonts w:ascii="Arial" w:hAnsi="Arial" w:cs="Arial"/>
        </w:rPr>
        <w:t xml:space="preserve"> </w:t>
      </w:r>
      <w:r>
        <w:rPr>
          <w:rFonts w:ascii="Arial" w:hAnsi="Arial" w:cs="Arial"/>
        </w:rPr>
        <w:t>presenti</w:t>
      </w:r>
      <w:r w:rsidRPr="00E95EC4">
        <w:rPr>
          <w:rFonts w:ascii="Arial" w:hAnsi="Arial" w:cs="Arial"/>
        </w:rPr>
        <w:t xml:space="preserve"> percorsi non elettrificati</w:t>
      </w:r>
      <w:r>
        <w:rPr>
          <w:rFonts w:ascii="Arial" w:hAnsi="Arial" w:cs="Arial"/>
        </w:rPr>
        <w:t>;</w:t>
      </w:r>
    </w:p>
    <w:p w:rsidR="00B63E79" w:rsidRDefault="00B63E79" w:rsidP="00B63E79">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Pr>
          <w:rFonts w:ascii="Arial" w:hAnsi="Arial" w:cs="Arial"/>
        </w:rPr>
        <w:t xml:space="preserve">la nuova soluzione progettuale differisce rispetto a quella del 2008, tra l’altro, per una </w:t>
      </w:r>
      <w:r w:rsidRPr="00AD27C4">
        <w:rPr>
          <w:rFonts w:ascii="Arial" w:hAnsi="Arial" w:cs="Arial"/>
        </w:rPr>
        <w:t xml:space="preserve">variante di tracciato del ramo principale del corridoio </w:t>
      </w:r>
      <w:r>
        <w:rPr>
          <w:rFonts w:ascii="Arial" w:hAnsi="Arial" w:cs="Arial"/>
        </w:rPr>
        <w:t>EUR-</w:t>
      </w:r>
      <w:r w:rsidRPr="00AD27C4">
        <w:rPr>
          <w:rFonts w:ascii="Arial" w:hAnsi="Arial" w:cs="Arial"/>
        </w:rPr>
        <w:t>Tor de’ Cenci</w:t>
      </w:r>
      <w:r>
        <w:rPr>
          <w:rFonts w:ascii="Arial" w:hAnsi="Arial" w:cs="Arial"/>
        </w:rPr>
        <w:t xml:space="preserve">, per la diversa localizzazione del </w:t>
      </w:r>
      <w:r w:rsidRPr="00AD27C4">
        <w:rPr>
          <w:rFonts w:ascii="Arial" w:hAnsi="Arial" w:cs="Arial"/>
        </w:rPr>
        <w:t xml:space="preserve">deposito/officina </w:t>
      </w:r>
      <w:r>
        <w:rPr>
          <w:rFonts w:ascii="Arial" w:hAnsi="Arial" w:cs="Arial"/>
        </w:rPr>
        <w:t xml:space="preserve">(spostato da </w:t>
      </w:r>
      <w:r w:rsidRPr="00AD27C4">
        <w:rPr>
          <w:rFonts w:ascii="Arial" w:hAnsi="Arial" w:cs="Arial"/>
        </w:rPr>
        <w:t>Tor de’ Cenci</w:t>
      </w:r>
      <w:r>
        <w:rPr>
          <w:rFonts w:ascii="Arial" w:hAnsi="Arial" w:cs="Arial"/>
        </w:rPr>
        <w:t>,</w:t>
      </w:r>
      <w:r w:rsidRPr="00AD27C4">
        <w:rPr>
          <w:rFonts w:ascii="Arial" w:hAnsi="Arial" w:cs="Arial"/>
        </w:rPr>
        <w:t xml:space="preserve"> in prossimità </w:t>
      </w:r>
      <w:r>
        <w:rPr>
          <w:rFonts w:ascii="Arial" w:hAnsi="Arial" w:cs="Arial"/>
        </w:rPr>
        <w:t>di una r</w:t>
      </w:r>
      <w:r w:rsidRPr="00AD27C4">
        <w:rPr>
          <w:rFonts w:ascii="Arial" w:hAnsi="Arial" w:cs="Arial"/>
        </w:rPr>
        <w:t xml:space="preserve">iserva </w:t>
      </w:r>
      <w:r>
        <w:rPr>
          <w:rFonts w:ascii="Arial" w:hAnsi="Arial" w:cs="Arial"/>
        </w:rPr>
        <w:t xml:space="preserve">naturale, </w:t>
      </w:r>
      <w:r w:rsidRPr="00AD27C4">
        <w:rPr>
          <w:rFonts w:ascii="Arial" w:hAnsi="Arial" w:cs="Arial"/>
        </w:rPr>
        <w:t xml:space="preserve">a Tor Pagnotta, in </w:t>
      </w:r>
      <w:r>
        <w:rPr>
          <w:rFonts w:ascii="Arial" w:hAnsi="Arial" w:cs="Arial"/>
        </w:rPr>
        <w:t>modo da ridurne l’</w:t>
      </w:r>
      <w:r w:rsidRPr="00AD27C4">
        <w:rPr>
          <w:rFonts w:ascii="Arial" w:hAnsi="Arial" w:cs="Arial"/>
        </w:rPr>
        <w:t xml:space="preserve">impatto ambientale </w:t>
      </w:r>
      <w:r>
        <w:rPr>
          <w:rFonts w:ascii="Arial" w:hAnsi="Arial" w:cs="Arial"/>
        </w:rPr>
        <w:t xml:space="preserve">e da utilizzare, ampliandolo, l’esistente deposito ATAC), per lo stralcio del sottopasso non più funzionale e per la diversa strutturazione dei percorsi nei citati </w:t>
      </w:r>
      <w:r w:rsidRPr="00AD27C4">
        <w:rPr>
          <w:rFonts w:ascii="Arial" w:hAnsi="Arial" w:cs="Arial"/>
        </w:rPr>
        <w:t xml:space="preserve">quartieri </w:t>
      </w:r>
      <w:r>
        <w:rPr>
          <w:rFonts w:ascii="Arial" w:hAnsi="Arial" w:cs="Arial"/>
        </w:rPr>
        <w:t xml:space="preserve">di </w:t>
      </w:r>
      <w:r w:rsidRPr="00AD27C4">
        <w:rPr>
          <w:rFonts w:ascii="Arial" w:hAnsi="Arial" w:cs="Arial"/>
        </w:rPr>
        <w:t xml:space="preserve">Torrino, </w:t>
      </w:r>
      <w:proofErr w:type="spellStart"/>
      <w:r w:rsidRPr="00AD27C4">
        <w:rPr>
          <w:rFonts w:ascii="Arial" w:hAnsi="Arial" w:cs="Arial"/>
        </w:rPr>
        <w:t>Mezzocam</w:t>
      </w:r>
      <w:r>
        <w:rPr>
          <w:rFonts w:ascii="Arial" w:hAnsi="Arial" w:cs="Arial"/>
        </w:rPr>
        <w:t>m</w:t>
      </w:r>
      <w:r w:rsidRPr="00AD27C4">
        <w:rPr>
          <w:rFonts w:ascii="Arial" w:hAnsi="Arial" w:cs="Arial"/>
        </w:rPr>
        <w:t>ino</w:t>
      </w:r>
      <w:proofErr w:type="spellEnd"/>
      <w:r w:rsidRPr="00AD27C4">
        <w:rPr>
          <w:rFonts w:ascii="Arial" w:hAnsi="Arial" w:cs="Arial"/>
        </w:rPr>
        <w:t xml:space="preserve"> e Castellaccio</w:t>
      </w:r>
      <w:r>
        <w:rPr>
          <w:rFonts w:ascii="Arial" w:hAnsi="Arial" w:cs="Arial"/>
        </w:rPr>
        <w:t>, con eliminazione delle relative opere;</w:t>
      </w:r>
    </w:p>
    <w:p w:rsidR="00B63E79" w:rsidRDefault="00B63E79" w:rsidP="00B63E79">
      <w:pPr>
        <w:numPr>
          <w:ilvl w:val="0"/>
          <w:numId w:val="5"/>
        </w:numPr>
        <w:tabs>
          <w:tab w:val="num" w:pos="426"/>
        </w:tabs>
        <w:autoSpaceDE w:val="0"/>
        <w:autoSpaceDN w:val="0"/>
        <w:adjustRightInd w:val="0"/>
        <w:spacing w:before="120" w:after="120" w:line="240" w:lineRule="auto"/>
        <w:ind w:left="426" w:hanging="426"/>
        <w:jc w:val="both"/>
        <w:rPr>
          <w:rFonts w:ascii="Arial" w:hAnsi="Arial" w:cs="Arial"/>
        </w:rPr>
      </w:pPr>
      <w:r>
        <w:rPr>
          <w:rFonts w:ascii="Arial" w:hAnsi="Arial" w:cs="Arial"/>
        </w:rPr>
        <w:t>anche il corridoio EUR</w:t>
      </w:r>
      <w:r w:rsidRPr="00710F1C">
        <w:rPr>
          <w:rFonts w:ascii="Arial" w:hAnsi="Arial" w:cs="Arial"/>
        </w:rPr>
        <w:t xml:space="preserve"> Laurentina</w:t>
      </w:r>
      <w:r>
        <w:rPr>
          <w:rFonts w:ascii="Arial" w:hAnsi="Arial" w:cs="Arial"/>
        </w:rPr>
        <w:t>-</w:t>
      </w:r>
      <w:r w:rsidRPr="00710F1C">
        <w:rPr>
          <w:rFonts w:ascii="Arial" w:hAnsi="Arial" w:cs="Arial"/>
        </w:rPr>
        <w:t>Tor Pagnotta</w:t>
      </w:r>
      <w:r>
        <w:rPr>
          <w:rFonts w:ascii="Arial" w:hAnsi="Arial" w:cs="Arial"/>
        </w:rPr>
        <w:t xml:space="preserve"> è stato oggetto di una serie di varianti, sulle quali il MIT ha </w:t>
      </w:r>
      <w:r w:rsidRPr="00710F1C">
        <w:rPr>
          <w:rFonts w:ascii="Arial" w:hAnsi="Arial" w:cs="Arial"/>
        </w:rPr>
        <w:t>rilasciato il nulla osta tecnico ai fini della sicurezza</w:t>
      </w:r>
      <w:r>
        <w:rPr>
          <w:rFonts w:ascii="Arial" w:hAnsi="Arial" w:cs="Arial"/>
        </w:rPr>
        <w:t xml:space="preserve"> </w:t>
      </w:r>
      <w:r w:rsidRPr="00710F1C">
        <w:rPr>
          <w:rFonts w:ascii="Arial" w:hAnsi="Arial" w:cs="Arial"/>
        </w:rPr>
        <w:t>ed espresso parere tecnico-economico favorevole</w:t>
      </w:r>
      <w:r>
        <w:rPr>
          <w:rFonts w:ascii="Arial" w:hAnsi="Arial" w:cs="Arial"/>
        </w:rPr>
        <w:t>;</w:t>
      </w:r>
    </w:p>
    <w:p w:rsidR="00B63E79" w:rsidRDefault="00B63E79" w:rsidP="00B63E79">
      <w:pPr>
        <w:numPr>
          <w:ilvl w:val="0"/>
          <w:numId w:val="5"/>
        </w:numPr>
        <w:tabs>
          <w:tab w:val="num" w:pos="426"/>
        </w:tabs>
        <w:autoSpaceDE w:val="0"/>
        <w:autoSpaceDN w:val="0"/>
        <w:adjustRightInd w:val="0"/>
        <w:spacing w:before="120" w:after="120" w:line="240" w:lineRule="auto"/>
        <w:ind w:left="425" w:hanging="425"/>
        <w:jc w:val="both"/>
        <w:rPr>
          <w:rFonts w:ascii="Arial" w:hAnsi="Arial" w:cs="Arial"/>
        </w:rPr>
      </w:pPr>
      <w:r>
        <w:rPr>
          <w:rFonts w:ascii="Arial" w:hAnsi="Arial" w:cs="Arial"/>
        </w:rPr>
        <w:t xml:space="preserve">il costo ante gara dell’intervento, comprensivo anche dei costi di cui non è stato chiesto il finanziamento a carico della legge n. 211 del 1992, è riportato nella seguente tabella, in cui sono esposti anche i relativi finanziamenti statali e non statali: </w:t>
      </w:r>
    </w:p>
    <w:p w:rsidR="0034635A" w:rsidRDefault="0034635A" w:rsidP="0034635A">
      <w:pPr>
        <w:autoSpaceDE w:val="0"/>
        <w:autoSpaceDN w:val="0"/>
        <w:adjustRightInd w:val="0"/>
        <w:spacing w:before="120" w:after="120" w:line="240" w:lineRule="auto"/>
        <w:jc w:val="both"/>
        <w:rPr>
          <w:rFonts w:ascii="Arial" w:hAnsi="Arial" w:cs="Arial"/>
        </w:rPr>
      </w:pPr>
    </w:p>
    <w:p w:rsidR="00B63E79" w:rsidRPr="00E014B8" w:rsidRDefault="00B63E79" w:rsidP="00B63E79">
      <w:pPr>
        <w:autoSpaceDE w:val="0"/>
        <w:autoSpaceDN w:val="0"/>
        <w:adjustRightInd w:val="0"/>
        <w:spacing w:before="120" w:after="40" w:line="240" w:lineRule="auto"/>
        <w:jc w:val="right"/>
        <w:rPr>
          <w:rFonts w:ascii="Arial" w:hAnsi="Arial" w:cs="Arial"/>
        </w:rPr>
      </w:pPr>
      <w:r w:rsidRPr="00FF5263">
        <w:rPr>
          <w:rFonts w:ascii="Arial" w:hAnsi="Arial" w:cs="Arial"/>
          <w:sz w:val="18"/>
        </w:rPr>
        <w:t>(importi in euro)</w:t>
      </w:r>
    </w:p>
    <w:tbl>
      <w:tblPr>
        <w:tblW w:w="88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544"/>
        <w:gridCol w:w="1528"/>
        <w:gridCol w:w="1409"/>
        <w:gridCol w:w="1410"/>
        <w:gridCol w:w="1409"/>
      </w:tblGrid>
      <w:tr w:rsidR="00B63E79" w:rsidRPr="00E71DBC" w:rsidTr="0061308B">
        <w:tc>
          <w:tcPr>
            <w:tcW w:w="1668" w:type="dxa"/>
            <w:tcBorders>
              <w:top w:val="single" w:sz="4" w:space="0" w:color="auto"/>
              <w:left w:val="single" w:sz="4" w:space="0" w:color="auto"/>
              <w:bottom w:val="single" w:sz="4" w:space="0" w:color="auto"/>
              <w:right w:val="single" w:sz="4" w:space="0" w:color="auto"/>
            </w:tcBorders>
            <w:shd w:val="clear" w:color="auto" w:fill="auto"/>
          </w:tcPr>
          <w:p w:rsidR="00B63E79" w:rsidRPr="00E71DBC" w:rsidRDefault="00B63E79" w:rsidP="0061308B">
            <w:pPr>
              <w:autoSpaceDE w:val="0"/>
              <w:autoSpaceDN w:val="0"/>
              <w:adjustRightInd w:val="0"/>
              <w:spacing w:before="20" w:after="20" w:line="240" w:lineRule="auto"/>
              <w:jc w:val="center"/>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auto"/>
            <w:vAlign w:val="center"/>
          </w:tcPr>
          <w:p w:rsidR="00B63E79" w:rsidRPr="00E71DBC" w:rsidRDefault="00B63E79" w:rsidP="0061308B">
            <w:pPr>
              <w:autoSpaceDE w:val="0"/>
              <w:autoSpaceDN w:val="0"/>
              <w:adjustRightInd w:val="0"/>
              <w:spacing w:before="20" w:after="20" w:line="240" w:lineRule="auto"/>
              <w:jc w:val="center"/>
              <w:rPr>
                <w:rFonts w:ascii="Arial" w:hAnsi="Arial" w:cs="Arial"/>
                <w:b/>
                <w:sz w:val="20"/>
                <w:szCs w:val="20"/>
              </w:rPr>
            </w:pPr>
            <w:r w:rsidRPr="00E71DBC">
              <w:rPr>
                <w:rFonts w:ascii="Arial" w:hAnsi="Arial" w:cs="Arial"/>
                <w:b/>
                <w:sz w:val="20"/>
                <w:szCs w:val="20"/>
              </w:rPr>
              <w:t>Totale</w:t>
            </w:r>
          </w:p>
        </w:tc>
        <w:tc>
          <w:tcPr>
            <w:tcW w:w="1418" w:type="dxa"/>
            <w:tcBorders>
              <w:left w:val="single" w:sz="4" w:space="0" w:color="auto"/>
            </w:tcBorders>
            <w:shd w:val="clear" w:color="auto" w:fill="auto"/>
            <w:vAlign w:val="center"/>
          </w:tcPr>
          <w:p w:rsidR="00B63E79" w:rsidRPr="00E71DBC" w:rsidRDefault="00B63E79" w:rsidP="0061308B">
            <w:pPr>
              <w:autoSpaceDE w:val="0"/>
              <w:autoSpaceDN w:val="0"/>
              <w:adjustRightInd w:val="0"/>
              <w:spacing w:before="20" w:after="20" w:line="240" w:lineRule="auto"/>
              <w:jc w:val="center"/>
              <w:rPr>
                <w:rFonts w:ascii="Arial" w:hAnsi="Arial" w:cs="Arial"/>
                <w:sz w:val="20"/>
                <w:szCs w:val="20"/>
              </w:rPr>
            </w:pPr>
            <w:r w:rsidRPr="00E71DBC">
              <w:rPr>
                <w:rFonts w:ascii="Arial" w:hAnsi="Arial" w:cs="Arial"/>
                <w:sz w:val="20"/>
                <w:szCs w:val="20"/>
              </w:rPr>
              <w:t>Finanziamento L. n. 211 del 1992</w:t>
            </w:r>
          </w:p>
        </w:tc>
        <w:tc>
          <w:tcPr>
            <w:tcW w:w="1417" w:type="dxa"/>
            <w:shd w:val="clear" w:color="auto" w:fill="auto"/>
            <w:vAlign w:val="center"/>
          </w:tcPr>
          <w:p w:rsidR="00B63E79" w:rsidRPr="00E71DBC" w:rsidRDefault="00B63E79" w:rsidP="0061308B">
            <w:pPr>
              <w:autoSpaceDE w:val="0"/>
              <w:autoSpaceDN w:val="0"/>
              <w:adjustRightInd w:val="0"/>
              <w:spacing w:before="20" w:after="20" w:line="240" w:lineRule="auto"/>
              <w:jc w:val="center"/>
              <w:rPr>
                <w:rFonts w:ascii="Arial" w:hAnsi="Arial" w:cs="Arial"/>
                <w:sz w:val="20"/>
                <w:szCs w:val="20"/>
              </w:rPr>
            </w:pPr>
            <w:r w:rsidRPr="00E71DBC">
              <w:rPr>
                <w:rFonts w:ascii="Arial" w:hAnsi="Arial" w:cs="Arial"/>
                <w:sz w:val="20"/>
                <w:szCs w:val="20"/>
              </w:rPr>
              <w:t xml:space="preserve">Comune di Roma </w:t>
            </w:r>
            <w:r w:rsidRPr="00E71DBC">
              <w:rPr>
                <w:rFonts w:ascii="Arial" w:hAnsi="Arial" w:cs="Arial"/>
                <w:i/>
                <w:sz w:val="20"/>
                <w:szCs w:val="20"/>
              </w:rPr>
              <w:t xml:space="preserve">ex </w:t>
            </w:r>
            <w:proofErr w:type="spellStart"/>
            <w:r w:rsidRPr="00E71DBC">
              <w:rPr>
                <w:rFonts w:ascii="Arial" w:hAnsi="Arial" w:cs="Arial"/>
                <w:i/>
                <w:sz w:val="20"/>
                <w:szCs w:val="20"/>
              </w:rPr>
              <w:t>lege</w:t>
            </w:r>
            <w:proofErr w:type="spellEnd"/>
            <w:r w:rsidRPr="00E71DBC">
              <w:rPr>
                <w:rFonts w:ascii="Arial" w:hAnsi="Arial" w:cs="Arial"/>
                <w:sz w:val="20"/>
                <w:szCs w:val="20"/>
              </w:rPr>
              <w:t xml:space="preserve"> n. 211 del 1992</w:t>
            </w:r>
          </w:p>
        </w:tc>
        <w:tc>
          <w:tcPr>
            <w:tcW w:w="1418" w:type="dxa"/>
            <w:shd w:val="clear" w:color="auto" w:fill="auto"/>
            <w:vAlign w:val="center"/>
          </w:tcPr>
          <w:p w:rsidR="00B63E79" w:rsidRPr="00E71DBC" w:rsidRDefault="00B63E79" w:rsidP="0061308B">
            <w:pPr>
              <w:autoSpaceDE w:val="0"/>
              <w:autoSpaceDN w:val="0"/>
              <w:adjustRightInd w:val="0"/>
              <w:spacing w:before="20" w:after="20" w:line="240" w:lineRule="auto"/>
              <w:jc w:val="center"/>
              <w:rPr>
                <w:rFonts w:ascii="Arial" w:hAnsi="Arial" w:cs="Arial"/>
                <w:sz w:val="20"/>
                <w:szCs w:val="20"/>
              </w:rPr>
            </w:pPr>
            <w:r w:rsidRPr="00E71DBC">
              <w:rPr>
                <w:rFonts w:ascii="Arial" w:hAnsi="Arial" w:cs="Arial"/>
                <w:sz w:val="20"/>
                <w:szCs w:val="20"/>
              </w:rPr>
              <w:t>L. n. 396 del</w:t>
            </w:r>
            <w:r w:rsidRPr="00E71DBC">
              <w:rPr>
                <w:rFonts w:ascii="Arial" w:hAnsi="Arial" w:cs="Arial"/>
                <w:color w:val="FF0000"/>
                <w:sz w:val="20"/>
                <w:szCs w:val="20"/>
              </w:rPr>
              <w:t xml:space="preserve"> </w:t>
            </w:r>
            <w:r w:rsidRPr="00E71DBC">
              <w:rPr>
                <w:rFonts w:ascii="Arial" w:hAnsi="Arial" w:cs="Arial"/>
                <w:sz w:val="20"/>
                <w:szCs w:val="20"/>
              </w:rPr>
              <w:t>1990</w:t>
            </w:r>
          </w:p>
          <w:p w:rsidR="00B63E79" w:rsidRPr="00E71DBC" w:rsidRDefault="00B63E79" w:rsidP="0061308B">
            <w:pPr>
              <w:autoSpaceDE w:val="0"/>
              <w:autoSpaceDN w:val="0"/>
              <w:adjustRightInd w:val="0"/>
              <w:spacing w:before="20" w:after="20" w:line="240" w:lineRule="auto"/>
              <w:jc w:val="center"/>
              <w:rPr>
                <w:rFonts w:ascii="Arial" w:hAnsi="Arial" w:cs="Arial"/>
                <w:sz w:val="20"/>
                <w:szCs w:val="20"/>
              </w:rPr>
            </w:pPr>
            <w:r w:rsidRPr="00E71DBC">
              <w:rPr>
                <w:rFonts w:ascii="Arial" w:hAnsi="Arial" w:cs="Arial"/>
                <w:sz w:val="20"/>
                <w:szCs w:val="20"/>
              </w:rPr>
              <w:t>Roma Capitale</w:t>
            </w:r>
          </w:p>
        </w:tc>
        <w:tc>
          <w:tcPr>
            <w:tcW w:w="1417" w:type="dxa"/>
            <w:shd w:val="clear" w:color="auto" w:fill="auto"/>
            <w:vAlign w:val="center"/>
          </w:tcPr>
          <w:p w:rsidR="00B63E79" w:rsidRPr="00E71DBC" w:rsidRDefault="00B63E79" w:rsidP="0061308B">
            <w:pPr>
              <w:autoSpaceDE w:val="0"/>
              <w:autoSpaceDN w:val="0"/>
              <w:adjustRightInd w:val="0"/>
              <w:spacing w:before="20" w:after="20" w:line="240" w:lineRule="auto"/>
              <w:jc w:val="center"/>
              <w:rPr>
                <w:rFonts w:ascii="Arial" w:hAnsi="Arial" w:cs="Arial"/>
                <w:sz w:val="20"/>
                <w:szCs w:val="20"/>
              </w:rPr>
            </w:pPr>
            <w:r w:rsidRPr="00E71DBC">
              <w:rPr>
                <w:rFonts w:ascii="Arial" w:hAnsi="Arial" w:cs="Arial"/>
                <w:sz w:val="20"/>
                <w:szCs w:val="20"/>
              </w:rPr>
              <w:t>Legge Regionale del Lazio n. 4 del 2006</w:t>
            </w:r>
          </w:p>
        </w:tc>
      </w:tr>
      <w:tr w:rsidR="00B63E79" w:rsidRPr="00D636F9" w:rsidTr="0061308B">
        <w:tc>
          <w:tcPr>
            <w:tcW w:w="1668" w:type="dxa"/>
            <w:tcBorders>
              <w:left w:val="single" w:sz="4" w:space="0" w:color="auto"/>
            </w:tcBorders>
            <w:shd w:val="clear" w:color="auto" w:fill="auto"/>
          </w:tcPr>
          <w:p w:rsidR="00B63E79" w:rsidRPr="00E71DBC" w:rsidRDefault="00B63E79" w:rsidP="0061308B">
            <w:pPr>
              <w:autoSpaceDE w:val="0"/>
              <w:autoSpaceDN w:val="0"/>
              <w:adjustRightInd w:val="0"/>
              <w:spacing w:before="20" w:after="20" w:line="240" w:lineRule="auto"/>
              <w:jc w:val="both"/>
              <w:rPr>
                <w:rFonts w:ascii="Arial" w:hAnsi="Arial" w:cs="Arial"/>
                <w:sz w:val="20"/>
                <w:szCs w:val="20"/>
              </w:rPr>
            </w:pPr>
            <w:r w:rsidRPr="00E71DBC">
              <w:rPr>
                <w:rFonts w:ascii="Arial" w:hAnsi="Arial" w:cs="Arial"/>
                <w:sz w:val="20"/>
                <w:szCs w:val="20"/>
              </w:rPr>
              <w:t>Costo finanziabile L. n. 211 del 1992</w:t>
            </w:r>
          </w:p>
        </w:tc>
        <w:tc>
          <w:tcPr>
            <w:tcW w:w="1559" w:type="dxa"/>
            <w:shd w:val="clear" w:color="auto" w:fill="auto"/>
          </w:tcPr>
          <w:p w:rsidR="00B63E79" w:rsidRPr="00B76441" w:rsidRDefault="00B63E79" w:rsidP="0061308B">
            <w:pPr>
              <w:autoSpaceDE w:val="0"/>
              <w:autoSpaceDN w:val="0"/>
              <w:adjustRightInd w:val="0"/>
              <w:spacing w:before="20" w:after="20" w:line="240" w:lineRule="auto"/>
              <w:jc w:val="right"/>
              <w:rPr>
                <w:rFonts w:ascii="Arial" w:hAnsi="Arial" w:cs="Arial"/>
                <w:b/>
                <w:sz w:val="18"/>
              </w:rPr>
            </w:pPr>
            <w:r w:rsidRPr="00B76441">
              <w:rPr>
                <w:rFonts w:ascii="Arial" w:hAnsi="Arial" w:cs="Arial"/>
                <w:b/>
                <w:bCs/>
                <w:sz w:val="18"/>
              </w:rPr>
              <w:t>131.437.667,64</w:t>
            </w:r>
          </w:p>
        </w:tc>
        <w:tc>
          <w:tcPr>
            <w:tcW w:w="1418" w:type="dxa"/>
            <w:shd w:val="clear" w:color="auto" w:fill="auto"/>
          </w:tcPr>
          <w:p w:rsidR="00B63E79" w:rsidRPr="001F0797" w:rsidRDefault="00B63E79" w:rsidP="0061308B">
            <w:pPr>
              <w:autoSpaceDE w:val="0"/>
              <w:autoSpaceDN w:val="0"/>
              <w:adjustRightInd w:val="0"/>
              <w:spacing w:before="20" w:after="20" w:line="240" w:lineRule="auto"/>
              <w:jc w:val="right"/>
              <w:rPr>
                <w:rFonts w:ascii="Arial" w:hAnsi="Arial" w:cs="Arial"/>
                <w:sz w:val="18"/>
              </w:rPr>
            </w:pPr>
            <w:r w:rsidRPr="001F0797">
              <w:rPr>
                <w:rFonts w:ascii="Arial" w:hAnsi="Arial" w:cs="Arial"/>
                <w:bCs/>
                <w:sz w:val="18"/>
              </w:rPr>
              <w:t>71.022.913,26</w:t>
            </w:r>
          </w:p>
        </w:tc>
        <w:tc>
          <w:tcPr>
            <w:tcW w:w="1417" w:type="dxa"/>
            <w:shd w:val="clear" w:color="auto" w:fill="auto"/>
          </w:tcPr>
          <w:p w:rsidR="00B63E79" w:rsidRPr="001F0797" w:rsidRDefault="00B63E79" w:rsidP="0061308B">
            <w:pPr>
              <w:autoSpaceDE w:val="0"/>
              <w:autoSpaceDN w:val="0"/>
              <w:adjustRightInd w:val="0"/>
              <w:spacing w:before="20" w:after="20" w:line="240" w:lineRule="auto"/>
              <w:jc w:val="right"/>
              <w:rPr>
                <w:rFonts w:ascii="Arial" w:hAnsi="Arial" w:cs="Arial"/>
                <w:sz w:val="18"/>
              </w:rPr>
            </w:pPr>
            <w:r w:rsidRPr="001F0797">
              <w:rPr>
                <w:rFonts w:ascii="Arial" w:hAnsi="Arial" w:cs="Arial"/>
                <w:sz w:val="18"/>
              </w:rPr>
              <w:t>21.508.533,46</w:t>
            </w:r>
          </w:p>
        </w:tc>
        <w:tc>
          <w:tcPr>
            <w:tcW w:w="1418" w:type="dxa"/>
            <w:shd w:val="clear" w:color="auto" w:fill="auto"/>
          </w:tcPr>
          <w:p w:rsidR="00B63E79" w:rsidRPr="001F0797" w:rsidRDefault="00B63E79" w:rsidP="0061308B">
            <w:pPr>
              <w:autoSpaceDE w:val="0"/>
              <w:autoSpaceDN w:val="0"/>
              <w:adjustRightInd w:val="0"/>
              <w:spacing w:before="20" w:after="20" w:line="240" w:lineRule="auto"/>
              <w:jc w:val="right"/>
              <w:rPr>
                <w:rFonts w:ascii="Arial" w:hAnsi="Arial" w:cs="Arial"/>
                <w:sz w:val="18"/>
              </w:rPr>
            </w:pPr>
            <w:r w:rsidRPr="001F0797">
              <w:rPr>
                <w:rFonts w:ascii="Arial" w:hAnsi="Arial" w:cs="Arial"/>
                <w:sz w:val="18"/>
              </w:rPr>
              <w:t>25.692.787,40</w:t>
            </w:r>
          </w:p>
        </w:tc>
        <w:tc>
          <w:tcPr>
            <w:tcW w:w="1417" w:type="dxa"/>
            <w:shd w:val="clear" w:color="auto" w:fill="auto"/>
          </w:tcPr>
          <w:p w:rsidR="00B63E79" w:rsidRPr="001F0797" w:rsidRDefault="00B63E79" w:rsidP="0061308B">
            <w:pPr>
              <w:autoSpaceDE w:val="0"/>
              <w:autoSpaceDN w:val="0"/>
              <w:adjustRightInd w:val="0"/>
              <w:spacing w:before="20" w:after="20" w:line="240" w:lineRule="auto"/>
              <w:jc w:val="right"/>
              <w:rPr>
                <w:rFonts w:ascii="Arial" w:hAnsi="Arial" w:cs="Arial"/>
                <w:sz w:val="18"/>
              </w:rPr>
            </w:pPr>
            <w:r w:rsidRPr="001F0797">
              <w:rPr>
                <w:rFonts w:ascii="Arial" w:hAnsi="Arial" w:cs="Arial"/>
                <w:sz w:val="18"/>
              </w:rPr>
              <w:t>13.213.433,52</w:t>
            </w:r>
          </w:p>
        </w:tc>
      </w:tr>
      <w:tr w:rsidR="00B63E79" w:rsidRPr="00D636F9" w:rsidTr="0061308B">
        <w:tc>
          <w:tcPr>
            <w:tcW w:w="1668" w:type="dxa"/>
            <w:tcBorders>
              <w:left w:val="single" w:sz="4" w:space="0" w:color="auto"/>
            </w:tcBorders>
            <w:shd w:val="clear" w:color="auto" w:fill="auto"/>
          </w:tcPr>
          <w:p w:rsidR="00B63E79" w:rsidRPr="00E71DBC" w:rsidRDefault="00B63E79" w:rsidP="0061308B">
            <w:pPr>
              <w:autoSpaceDE w:val="0"/>
              <w:autoSpaceDN w:val="0"/>
              <w:adjustRightInd w:val="0"/>
              <w:spacing w:before="20" w:after="20" w:line="240" w:lineRule="auto"/>
              <w:rPr>
                <w:rFonts w:ascii="Arial" w:hAnsi="Arial" w:cs="Arial"/>
                <w:sz w:val="20"/>
                <w:szCs w:val="20"/>
              </w:rPr>
            </w:pPr>
            <w:r w:rsidRPr="00E71DBC">
              <w:rPr>
                <w:rFonts w:ascii="Arial" w:hAnsi="Arial" w:cs="Arial"/>
                <w:sz w:val="20"/>
                <w:szCs w:val="20"/>
              </w:rPr>
              <w:t>Costo non finanziabile su fondi statali</w:t>
            </w:r>
          </w:p>
        </w:tc>
        <w:tc>
          <w:tcPr>
            <w:tcW w:w="1559" w:type="dxa"/>
            <w:shd w:val="clear" w:color="auto" w:fill="auto"/>
          </w:tcPr>
          <w:p w:rsidR="00B63E79" w:rsidRPr="00B76441" w:rsidRDefault="00B63E79" w:rsidP="0061308B">
            <w:pPr>
              <w:autoSpaceDE w:val="0"/>
              <w:autoSpaceDN w:val="0"/>
              <w:adjustRightInd w:val="0"/>
              <w:spacing w:before="20" w:after="20" w:line="240" w:lineRule="auto"/>
              <w:jc w:val="right"/>
              <w:rPr>
                <w:rFonts w:ascii="Arial" w:hAnsi="Arial" w:cs="Arial"/>
                <w:b/>
                <w:sz w:val="18"/>
              </w:rPr>
            </w:pPr>
            <w:r w:rsidRPr="00B76441">
              <w:rPr>
                <w:rFonts w:ascii="Arial" w:hAnsi="Arial" w:cs="Arial"/>
                <w:b/>
                <w:bCs/>
                <w:sz w:val="18"/>
              </w:rPr>
              <w:t>31.881.245,61</w:t>
            </w:r>
          </w:p>
        </w:tc>
        <w:tc>
          <w:tcPr>
            <w:tcW w:w="1418" w:type="dxa"/>
            <w:shd w:val="clear" w:color="auto" w:fill="auto"/>
          </w:tcPr>
          <w:p w:rsidR="00B63E79" w:rsidRPr="001F0797" w:rsidRDefault="00B63E79" w:rsidP="0061308B">
            <w:pPr>
              <w:autoSpaceDE w:val="0"/>
              <w:autoSpaceDN w:val="0"/>
              <w:adjustRightInd w:val="0"/>
              <w:spacing w:before="20" w:after="20" w:line="240" w:lineRule="auto"/>
              <w:jc w:val="right"/>
              <w:rPr>
                <w:rFonts w:ascii="Arial" w:hAnsi="Arial" w:cs="Arial"/>
                <w:sz w:val="18"/>
              </w:rPr>
            </w:pPr>
          </w:p>
        </w:tc>
        <w:tc>
          <w:tcPr>
            <w:tcW w:w="1417" w:type="dxa"/>
            <w:shd w:val="clear" w:color="auto" w:fill="auto"/>
          </w:tcPr>
          <w:p w:rsidR="00B63E79" w:rsidRPr="001F0797" w:rsidRDefault="00B63E79" w:rsidP="0061308B">
            <w:pPr>
              <w:autoSpaceDE w:val="0"/>
              <w:autoSpaceDN w:val="0"/>
              <w:adjustRightInd w:val="0"/>
              <w:spacing w:before="20" w:after="20" w:line="240" w:lineRule="auto"/>
              <w:jc w:val="right"/>
              <w:rPr>
                <w:rFonts w:ascii="Arial" w:hAnsi="Arial" w:cs="Arial"/>
                <w:sz w:val="18"/>
              </w:rPr>
            </w:pPr>
            <w:r w:rsidRPr="001F0797">
              <w:rPr>
                <w:rFonts w:ascii="Arial" w:hAnsi="Arial" w:cs="Arial"/>
                <w:sz w:val="18"/>
              </w:rPr>
              <w:t>17.787.466,54</w:t>
            </w:r>
          </w:p>
        </w:tc>
        <w:tc>
          <w:tcPr>
            <w:tcW w:w="1418" w:type="dxa"/>
            <w:shd w:val="clear" w:color="auto" w:fill="auto"/>
          </w:tcPr>
          <w:p w:rsidR="00B63E79" w:rsidRPr="001F0797" w:rsidRDefault="00B63E79" w:rsidP="0061308B">
            <w:pPr>
              <w:autoSpaceDE w:val="0"/>
              <w:autoSpaceDN w:val="0"/>
              <w:adjustRightInd w:val="0"/>
              <w:spacing w:before="20" w:after="20" w:line="240" w:lineRule="auto"/>
              <w:jc w:val="right"/>
              <w:rPr>
                <w:rFonts w:ascii="Arial" w:hAnsi="Arial" w:cs="Arial"/>
                <w:sz w:val="18"/>
              </w:rPr>
            </w:pPr>
            <w:r w:rsidRPr="001F0797">
              <w:rPr>
                <w:rFonts w:ascii="Arial" w:hAnsi="Arial" w:cs="Arial"/>
                <w:sz w:val="18"/>
              </w:rPr>
              <w:t>9.307.212,59</w:t>
            </w:r>
          </w:p>
        </w:tc>
        <w:tc>
          <w:tcPr>
            <w:tcW w:w="1417" w:type="dxa"/>
            <w:shd w:val="clear" w:color="auto" w:fill="auto"/>
          </w:tcPr>
          <w:p w:rsidR="00B63E79" w:rsidRPr="001F0797" w:rsidRDefault="00B63E79" w:rsidP="0061308B">
            <w:pPr>
              <w:autoSpaceDE w:val="0"/>
              <w:autoSpaceDN w:val="0"/>
              <w:adjustRightInd w:val="0"/>
              <w:spacing w:before="20" w:after="20" w:line="240" w:lineRule="auto"/>
              <w:jc w:val="right"/>
              <w:rPr>
                <w:rFonts w:ascii="Arial" w:hAnsi="Arial" w:cs="Arial"/>
                <w:sz w:val="18"/>
              </w:rPr>
            </w:pPr>
            <w:r w:rsidRPr="001F0797">
              <w:rPr>
                <w:rFonts w:ascii="Arial" w:hAnsi="Arial" w:cs="Arial"/>
                <w:sz w:val="18"/>
              </w:rPr>
              <w:t>4.786.566,48</w:t>
            </w:r>
          </w:p>
        </w:tc>
      </w:tr>
      <w:tr w:rsidR="00B63E79" w:rsidRPr="00D636F9" w:rsidTr="0061308B">
        <w:tc>
          <w:tcPr>
            <w:tcW w:w="1668" w:type="dxa"/>
            <w:tcBorders>
              <w:left w:val="single" w:sz="4" w:space="0" w:color="auto"/>
            </w:tcBorders>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b/>
                <w:sz w:val="18"/>
              </w:rPr>
            </w:pPr>
            <w:r w:rsidRPr="00D636F9">
              <w:rPr>
                <w:rFonts w:ascii="Arial" w:hAnsi="Arial" w:cs="Arial"/>
                <w:b/>
                <w:sz w:val="18"/>
              </w:rPr>
              <w:t>Totale</w:t>
            </w:r>
          </w:p>
        </w:tc>
        <w:tc>
          <w:tcPr>
            <w:tcW w:w="1559" w:type="dxa"/>
            <w:shd w:val="clear" w:color="auto" w:fill="auto"/>
          </w:tcPr>
          <w:p w:rsidR="00B63E79" w:rsidRPr="00B76441" w:rsidRDefault="00B63E79" w:rsidP="0061308B">
            <w:pPr>
              <w:autoSpaceDE w:val="0"/>
              <w:autoSpaceDN w:val="0"/>
              <w:adjustRightInd w:val="0"/>
              <w:spacing w:before="20" w:after="20" w:line="240" w:lineRule="auto"/>
              <w:jc w:val="right"/>
              <w:rPr>
                <w:rFonts w:ascii="Arial" w:hAnsi="Arial" w:cs="Arial"/>
                <w:b/>
                <w:sz w:val="18"/>
              </w:rPr>
            </w:pPr>
            <w:r w:rsidRPr="00B76441">
              <w:rPr>
                <w:rFonts w:ascii="Arial" w:hAnsi="Arial" w:cs="Arial"/>
                <w:b/>
                <w:sz w:val="18"/>
              </w:rPr>
              <w:t>163.318.913,25</w:t>
            </w:r>
          </w:p>
        </w:tc>
        <w:tc>
          <w:tcPr>
            <w:tcW w:w="1418" w:type="dxa"/>
            <w:shd w:val="clear" w:color="auto" w:fill="auto"/>
          </w:tcPr>
          <w:p w:rsidR="00B63E79" w:rsidRPr="001F0797" w:rsidRDefault="00B63E79" w:rsidP="0061308B">
            <w:pPr>
              <w:autoSpaceDE w:val="0"/>
              <w:autoSpaceDN w:val="0"/>
              <w:adjustRightInd w:val="0"/>
              <w:spacing w:before="20" w:after="20" w:line="240" w:lineRule="auto"/>
              <w:jc w:val="right"/>
              <w:rPr>
                <w:rFonts w:ascii="Arial" w:hAnsi="Arial" w:cs="Arial"/>
                <w:sz w:val="18"/>
              </w:rPr>
            </w:pPr>
            <w:r w:rsidRPr="001F0797">
              <w:rPr>
                <w:rFonts w:ascii="Arial" w:hAnsi="Arial" w:cs="Arial"/>
                <w:sz w:val="18"/>
              </w:rPr>
              <w:t>71.022.913,26</w:t>
            </w:r>
          </w:p>
        </w:tc>
        <w:tc>
          <w:tcPr>
            <w:tcW w:w="1417" w:type="dxa"/>
            <w:shd w:val="clear" w:color="auto" w:fill="auto"/>
          </w:tcPr>
          <w:p w:rsidR="00B63E79" w:rsidRPr="001F0797" w:rsidRDefault="00B63E79" w:rsidP="0061308B">
            <w:pPr>
              <w:autoSpaceDE w:val="0"/>
              <w:autoSpaceDN w:val="0"/>
              <w:adjustRightInd w:val="0"/>
              <w:spacing w:before="20" w:after="20" w:line="240" w:lineRule="auto"/>
              <w:jc w:val="right"/>
              <w:rPr>
                <w:rFonts w:ascii="Arial" w:hAnsi="Arial" w:cs="Arial"/>
                <w:sz w:val="18"/>
              </w:rPr>
            </w:pPr>
            <w:r w:rsidRPr="001F0797">
              <w:rPr>
                <w:rFonts w:ascii="Arial" w:hAnsi="Arial" w:cs="Arial"/>
                <w:sz w:val="18"/>
              </w:rPr>
              <w:t>39.296.000,00</w:t>
            </w:r>
          </w:p>
        </w:tc>
        <w:tc>
          <w:tcPr>
            <w:tcW w:w="1418" w:type="dxa"/>
            <w:shd w:val="clear" w:color="auto" w:fill="auto"/>
          </w:tcPr>
          <w:p w:rsidR="00B63E79" w:rsidRPr="001F0797" w:rsidRDefault="00B63E79" w:rsidP="0061308B">
            <w:pPr>
              <w:autoSpaceDE w:val="0"/>
              <w:autoSpaceDN w:val="0"/>
              <w:adjustRightInd w:val="0"/>
              <w:spacing w:before="20" w:after="20" w:line="240" w:lineRule="auto"/>
              <w:jc w:val="right"/>
              <w:rPr>
                <w:rFonts w:ascii="Arial" w:hAnsi="Arial" w:cs="Arial"/>
                <w:sz w:val="18"/>
              </w:rPr>
            </w:pPr>
            <w:r w:rsidRPr="001F0797">
              <w:rPr>
                <w:rFonts w:ascii="Arial" w:hAnsi="Arial" w:cs="Arial"/>
                <w:sz w:val="18"/>
              </w:rPr>
              <w:t>34.999.999,99</w:t>
            </w:r>
          </w:p>
        </w:tc>
        <w:tc>
          <w:tcPr>
            <w:tcW w:w="1417" w:type="dxa"/>
            <w:shd w:val="clear" w:color="auto" w:fill="auto"/>
          </w:tcPr>
          <w:p w:rsidR="00B63E79" w:rsidRPr="001F0797" w:rsidRDefault="00B63E79" w:rsidP="0061308B">
            <w:pPr>
              <w:autoSpaceDE w:val="0"/>
              <w:autoSpaceDN w:val="0"/>
              <w:adjustRightInd w:val="0"/>
              <w:spacing w:before="20" w:after="20" w:line="240" w:lineRule="auto"/>
              <w:jc w:val="right"/>
              <w:rPr>
                <w:rFonts w:ascii="Arial" w:hAnsi="Arial" w:cs="Arial"/>
                <w:sz w:val="18"/>
              </w:rPr>
            </w:pPr>
            <w:r w:rsidRPr="001F0797">
              <w:rPr>
                <w:rFonts w:ascii="Arial" w:hAnsi="Arial" w:cs="Arial"/>
                <w:sz w:val="18"/>
              </w:rPr>
              <w:t>18.000.000,00</w:t>
            </w:r>
          </w:p>
        </w:tc>
      </w:tr>
    </w:tbl>
    <w:p w:rsidR="00B63E79" w:rsidRDefault="00B63E79" w:rsidP="00B63E79">
      <w:pPr>
        <w:numPr>
          <w:ilvl w:val="0"/>
          <w:numId w:val="5"/>
        </w:numPr>
        <w:tabs>
          <w:tab w:val="num" w:pos="426"/>
        </w:tabs>
        <w:autoSpaceDE w:val="0"/>
        <w:autoSpaceDN w:val="0"/>
        <w:adjustRightInd w:val="0"/>
        <w:spacing w:before="120" w:after="120" w:line="240" w:lineRule="auto"/>
        <w:ind w:left="425" w:hanging="425"/>
        <w:jc w:val="both"/>
        <w:rPr>
          <w:rFonts w:ascii="Arial" w:hAnsi="Arial" w:cs="Arial"/>
        </w:rPr>
      </w:pPr>
      <w:r>
        <w:rPr>
          <w:rFonts w:ascii="Arial" w:hAnsi="Arial" w:cs="Arial"/>
        </w:rPr>
        <w:t>il quadro economico dell’intervento ha presentato la seguente evoluzione nelle fasi successive del post gara e della progettazione definitiva del 2008:</w:t>
      </w:r>
    </w:p>
    <w:p w:rsidR="00B63E79" w:rsidRPr="007E765E" w:rsidRDefault="00B63E79" w:rsidP="00B63E79">
      <w:pPr>
        <w:autoSpaceDE w:val="0"/>
        <w:autoSpaceDN w:val="0"/>
        <w:adjustRightInd w:val="0"/>
        <w:spacing w:before="120" w:after="40" w:line="240" w:lineRule="auto"/>
        <w:jc w:val="right"/>
        <w:rPr>
          <w:rFonts w:ascii="Arial" w:hAnsi="Arial" w:cs="Arial"/>
          <w:sz w:val="18"/>
        </w:rPr>
      </w:pPr>
      <w:r w:rsidRPr="007E765E">
        <w:rPr>
          <w:rFonts w:ascii="Arial" w:hAnsi="Arial" w:cs="Arial"/>
          <w:sz w:val="18"/>
        </w:rPr>
        <w:lastRenderedPageBreak/>
        <w:t>(importi in euro)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1839"/>
        <w:gridCol w:w="2161"/>
      </w:tblGrid>
      <w:tr w:rsidR="00B63E79" w:rsidRPr="007E765E" w:rsidTr="0061308B">
        <w:trPr>
          <w:trHeight w:val="701"/>
        </w:trPr>
        <w:tc>
          <w:tcPr>
            <w:tcW w:w="2376" w:type="dxa"/>
            <w:shd w:val="clear" w:color="auto" w:fill="auto"/>
          </w:tcPr>
          <w:p w:rsidR="00B63E79" w:rsidRPr="007E765E" w:rsidRDefault="00B63E79" w:rsidP="0061308B">
            <w:pPr>
              <w:autoSpaceDE w:val="0"/>
              <w:autoSpaceDN w:val="0"/>
              <w:adjustRightInd w:val="0"/>
              <w:spacing w:line="240" w:lineRule="auto"/>
              <w:jc w:val="both"/>
              <w:rPr>
                <w:rFonts w:ascii="Arial" w:hAnsi="Arial" w:cs="Arial"/>
                <w:sz w:val="20"/>
              </w:rPr>
            </w:pPr>
          </w:p>
        </w:tc>
        <w:tc>
          <w:tcPr>
            <w:tcW w:w="2268" w:type="dxa"/>
            <w:shd w:val="clear" w:color="auto" w:fill="auto"/>
            <w:vAlign w:val="center"/>
          </w:tcPr>
          <w:p w:rsidR="00B63E79" w:rsidRPr="00C070DD" w:rsidRDefault="00B63E79" w:rsidP="0061308B">
            <w:pPr>
              <w:autoSpaceDE w:val="0"/>
              <w:autoSpaceDN w:val="0"/>
              <w:adjustRightInd w:val="0"/>
              <w:spacing w:after="0" w:line="240" w:lineRule="auto"/>
              <w:ind w:right="137"/>
              <w:jc w:val="center"/>
              <w:rPr>
                <w:rFonts w:ascii="Arial" w:hAnsi="Arial" w:cs="Arial"/>
                <w:b/>
                <w:sz w:val="20"/>
              </w:rPr>
            </w:pPr>
            <w:r w:rsidRPr="00C070DD">
              <w:rPr>
                <w:rFonts w:ascii="Arial" w:hAnsi="Arial" w:cs="Arial"/>
                <w:b/>
                <w:sz w:val="20"/>
              </w:rPr>
              <w:t xml:space="preserve">Costo totale finanziabile a carico </w:t>
            </w:r>
            <w:r>
              <w:rPr>
                <w:rFonts w:ascii="Arial" w:hAnsi="Arial" w:cs="Arial"/>
                <w:b/>
                <w:sz w:val="20"/>
              </w:rPr>
              <w:t xml:space="preserve">della </w:t>
            </w:r>
            <w:r w:rsidRPr="00C070DD">
              <w:rPr>
                <w:rFonts w:ascii="Arial" w:hAnsi="Arial" w:cs="Arial"/>
                <w:b/>
                <w:sz w:val="20"/>
              </w:rPr>
              <w:t>legge n. 211 del 1992</w:t>
            </w:r>
          </w:p>
        </w:tc>
        <w:tc>
          <w:tcPr>
            <w:tcW w:w="1839" w:type="dxa"/>
            <w:shd w:val="clear" w:color="auto" w:fill="auto"/>
            <w:vAlign w:val="center"/>
          </w:tcPr>
          <w:p w:rsidR="00B63E79" w:rsidRPr="007E765E" w:rsidRDefault="00B63E79" w:rsidP="0061308B">
            <w:pPr>
              <w:autoSpaceDE w:val="0"/>
              <w:autoSpaceDN w:val="0"/>
              <w:adjustRightInd w:val="0"/>
              <w:spacing w:after="0" w:line="240" w:lineRule="auto"/>
              <w:ind w:right="136"/>
              <w:jc w:val="center"/>
              <w:rPr>
                <w:rFonts w:ascii="Arial" w:hAnsi="Arial" w:cs="Arial"/>
                <w:sz w:val="20"/>
              </w:rPr>
            </w:pPr>
            <w:r w:rsidRPr="007E765E">
              <w:rPr>
                <w:rFonts w:ascii="Arial" w:hAnsi="Arial" w:cs="Arial"/>
                <w:sz w:val="20"/>
              </w:rPr>
              <w:t>Finanziamento</w:t>
            </w:r>
          </w:p>
          <w:p w:rsidR="00B63E79" w:rsidRPr="007E765E" w:rsidRDefault="00B63E79" w:rsidP="0061308B">
            <w:pPr>
              <w:autoSpaceDE w:val="0"/>
              <w:autoSpaceDN w:val="0"/>
              <w:adjustRightInd w:val="0"/>
              <w:spacing w:after="0" w:line="240" w:lineRule="auto"/>
              <w:ind w:right="136"/>
              <w:jc w:val="center"/>
              <w:rPr>
                <w:rFonts w:ascii="Arial" w:hAnsi="Arial" w:cs="Arial"/>
                <w:sz w:val="20"/>
              </w:rPr>
            </w:pPr>
            <w:r w:rsidRPr="007E765E">
              <w:rPr>
                <w:rFonts w:ascii="Arial" w:hAnsi="Arial" w:cs="Arial"/>
                <w:sz w:val="20"/>
              </w:rPr>
              <w:t>legge n. 211 del 1992</w:t>
            </w:r>
          </w:p>
        </w:tc>
        <w:tc>
          <w:tcPr>
            <w:tcW w:w="2161" w:type="dxa"/>
            <w:shd w:val="clear" w:color="auto" w:fill="auto"/>
            <w:vAlign w:val="center"/>
          </w:tcPr>
          <w:p w:rsidR="00B63E79" w:rsidRPr="007E765E" w:rsidRDefault="00B63E79" w:rsidP="0061308B">
            <w:pPr>
              <w:autoSpaceDE w:val="0"/>
              <w:autoSpaceDN w:val="0"/>
              <w:adjustRightInd w:val="0"/>
              <w:spacing w:after="0" w:line="240" w:lineRule="auto"/>
              <w:ind w:right="137"/>
              <w:jc w:val="center"/>
              <w:rPr>
                <w:rFonts w:ascii="Arial" w:hAnsi="Arial" w:cs="Arial"/>
                <w:sz w:val="20"/>
              </w:rPr>
            </w:pPr>
            <w:r w:rsidRPr="007E765E">
              <w:rPr>
                <w:rFonts w:ascii="Arial" w:hAnsi="Arial" w:cs="Arial"/>
                <w:sz w:val="20"/>
              </w:rPr>
              <w:t>Altri finanziamenti</w:t>
            </w:r>
            <w:r>
              <w:rPr>
                <w:rFonts w:ascii="Arial" w:hAnsi="Arial" w:cs="Arial"/>
                <w:sz w:val="20"/>
              </w:rPr>
              <w:t xml:space="preserve"> a copertura del costo totale</w:t>
            </w:r>
          </w:p>
        </w:tc>
      </w:tr>
      <w:tr w:rsidR="00B63E79" w:rsidRPr="007E765E" w:rsidTr="0061308B">
        <w:tc>
          <w:tcPr>
            <w:tcW w:w="2376" w:type="dxa"/>
            <w:shd w:val="clear" w:color="auto" w:fill="auto"/>
          </w:tcPr>
          <w:p w:rsidR="00B63E79" w:rsidRPr="007E765E" w:rsidRDefault="00B63E79" w:rsidP="0061308B">
            <w:pPr>
              <w:autoSpaceDE w:val="0"/>
              <w:autoSpaceDN w:val="0"/>
              <w:adjustRightInd w:val="0"/>
              <w:spacing w:line="240" w:lineRule="auto"/>
              <w:jc w:val="both"/>
              <w:rPr>
                <w:rFonts w:ascii="Arial" w:hAnsi="Arial" w:cs="Arial"/>
                <w:i/>
                <w:sz w:val="20"/>
              </w:rPr>
            </w:pPr>
            <w:r w:rsidRPr="007E765E">
              <w:rPr>
                <w:rFonts w:ascii="Arial" w:hAnsi="Arial" w:cs="Arial"/>
                <w:sz w:val="20"/>
              </w:rPr>
              <w:t>Progetto ex DD n. 120 del 2008</w:t>
            </w:r>
          </w:p>
        </w:tc>
        <w:tc>
          <w:tcPr>
            <w:tcW w:w="2268" w:type="dxa"/>
            <w:shd w:val="clear" w:color="auto" w:fill="auto"/>
          </w:tcPr>
          <w:p w:rsidR="00B63E79" w:rsidRPr="00C070DD" w:rsidRDefault="00B63E79" w:rsidP="0061308B">
            <w:pPr>
              <w:autoSpaceDE w:val="0"/>
              <w:autoSpaceDN w:val="0"/>
              <w:adjustRightInd w:val="0"/>
              <w:spacing w:line="240" w:lineRule="auto"/>
              <w:ind w:right="137"/>
              <w:jc w:val="right"/>
              <w:rPr>
                <w:rFonts w:ascii="Arial" w:hAnsi="Arial" w:cs="Arial"/>
                <w:b/>
                <w:sz w:val="20"/>
              </w:rPr>
            </w:pPr>
            <w:r w:rsidRPr="00C070DD">
              <w:rPr>
                <w:rFonts w:ascii="Arial" w:hAnsi="Arial" w:cs="Arial"/>
                <w:b/>
                <w:sz w:val="20"/>
              </w:rPr>
              <w:t>131.437.667,64</w:t>
            </w:r>
          </w:p>
        </w:tc>
        <w:tc>
          <w:tcPr>
            <w:tcW w:w="1839" w:type="dxa"/>
            <w:shd w:val="clear" w:color="auto" w:fill="auto"/>
          </w:tcPr>
          <w:p w:rsidR="00B63E79" w:rsidRPr="007E765E" w:rsidRDefault="00B63E79" w:rsidP="0061308B">
            <w:pPr>
              <w:autoSpaceDE w:val="0"/>
              <w:autoSpaceDN w:val="0"/>
              <w:adjustRightInd w:val="0"/>
              <w:spacing w:line="240" w:lineRule="auto"/>
              <w:ind w:right="137"/>
              <w:jc w:val="right"/>
              <w:rPr>
                <w:rFonts w:ascii="Arial" w:hAnsi="Arial" w:cs="Arial"/>
                <w:sz w:val="20"/>
              </w:rPr>
            </w:pPr>
            <w:r w:rsidRPr="007E765E">
              <w:rPr>
                <w:rFonts w:ascii="Arial" w:hAnsi="Arial" w:cs="Arial"/>
                <w:sz w:val="20"/>
              </w:rPr>
              <w:t>71.022.913,26</w:t>
            </w:r>
          </w:p>
        </w:tc>
        <w:tc>
          <w:tcPr>
            <w:tcW w:w="2161" w:type="dxa"/>
            <w:shd w:val="clear" w:color="auto" w:fill="auto"/>
          </w:tcPr>
          <w:p w:rsidR="00B63E79" w:rsidRPr="007E765E" w:rsidRDefault="00B63E79" w:rsidP="0061308B">
            <w:pPr>
              <w:autoSpaceDE w:val="0"/>
              <w:autoSpaceDN w:val="0"/>
              <w:adjustRightInd w:val="0"/>
              <w:spacing w:line="240" w:lineRule="auto"/>
              <w:ind w:right="137"/>
              <w:jc w:val="right"/>
              <w:rPr>
                <w:rFonts w:ascii="Arial" w:hAnsi="Arial" w:cs="Arial"/>
                <w:sz w:val="20"/>
              </w:rPr>
            </w:pPr>
            <w:r w:rsidRPr="007E765E">
              <w:rPr>
                <w:rFonts w:ascii="Arial" w:hAnsi="Arial" w:cs="Arial"/>
                <w:sz w:val="20"/>
              </w:rPr>
              <w:t>60.414.754,38</w:t>
            </w:r>
          </w:p>
        </w:tc>
      </w:tr>
      <w:tr w:rsidR="00B63E79" w:rsidRPr="007E765E" w:rsidTr="0061308B">
        <w:tc>
          <w:tcPr>
            <w:tcW w:w="2376" w:type="dxa"/>
            <w:shd w:val="clear" w:color="auto" w:fill="auto"/>
          </w:tcPr>
          <w:p w:rsidR="00B63E79" w:rsidRPr="007E765E" w:rsidRDefault="00B63E79" w:rsidP="0061308B">
            <w:pPr>
              <w:autoSpaceDE w:val="0"/>
              <w:autoSpaceDN w:val="0"/>
              <w:adjustRightInd w:val="0"/>
              <w:spacing w:line="240" w:lineRule="auto"/>
              <w:jc w:val="both"/>
              <w:rPr>
                <w:rFonts w:ascii="Arial" w:hAnsi="Arial" w:cs="Arial"/>
                <w:sz w:val="20"/>
              </w:rPr>
            </w:pPr>
            <w:r w:rsidRPr="007E765E">
              <w:rPr>
                <w:rFonts w:ascii="Arial" w:hAnsi="Arial" w:cs="Arial"/>
                <w:sz w:val="20"/>
              </w:rPr>
              <w:t xml:space="preserve">Progetto post gara </w:t>
            </w:r>
          </w:p>
        </w:tc>
        <w:tc>
          <w:tcPr>
            <w:tcW w:w="2268" w:type="dxa"/>
            <w:shd w:val="clear" w:color="auto" w:fill="auto"/>
          </w:tcPr>
          <w:p w:rsidR="00B63E79" w:rsidRPr="00C070DD" w:rsidRDefault="00B63E79" w:rsidP="0061308B">
            <w:pPr>
              <w:autoSpaceDE w:val="0"/>
              <w:autoSpaceDN w:val="0"/>
              <w:adjustRightInd w:val="0"/>
              <w:spacing w:line="240" w:lineRule="auto"/>
              <w:ind w:right="137"/>
              <w:jc w:val="right"/>
              <w:rPr>
                <w:rFonts w:ascii="Arial" w:hAnsi="Arial" w:cs="Arial"/>
                <w:b/>
                <w:sz w:val="20"/>
              </w:rPr>
            </w:pPr>
            <w:r w:rsidRPr="00C070DD">
              <w:rPr>
                <w:rFonts w:ascii="Arial" w:hAnsi="Arial" w:cs="Arial"/>
                <w:b/>
                <w:sz w:val="20"/>
              </w:rPr>
              <w:t>108.028.659,98</w:t>
            </w:r>
          </w:p>
        </w:tc>
        <w:tc>
          <w:tcPr>
            <w:tcW w:w="1839" w:type="dxa"/>
            <w:shd w:val="clear" w:color="auto" w:fill="auto"/>
          </w:tcPr>
          <w:p w:rsidR="00B63E79" w:rsidRPr="007E765E" w:rsidRDefault="00B63E79" w:rsidP="0061308B">
            <w:pPr>
              <w:autoSpaceDE w:val="0"/>
              <w:autoSpaceDN w:val="0"/>
              <w:adjustRightInd w:val="0"/>
              <w:spacing w:line="240" w:lineRule="auto"/>
              <w:ind w:right="137"/>
              <w:jc w:val="right"/>
              <w:rPr>
                <w:rFonts w:ascii="Arial" w:hAnsi="Arial" w:cs="Arial"/>
                <w:sz w:val="20"/>
              </w:rPr>
            </w:pPr>
            <w:r w:rsidRPr="007E765E">
              <w:rPr>
                <w:rFonts w:ascii="Arial" w:hAnsi="Arial" w:cs="Arial"/>
                <w:sz w:val="20"/>
              </w:rPr>
              <w:t>58.373.684,05</w:t>
            </w:r>
          </w:p>
        </w:tc>
        <w:tc>
          <w:tcPr>
            <w:tcW w:w="2161" w:type="dxa"/>
            <w:shd w:val="clear" w:color="auto" w:fill="auto"/>
          </w:tcPr>
          <w:p w:rsidR="00B63E79" w:rsidRPr="007E765E" w:rsidRDefault="00B63E79" w:rsidP="0061308B">
            <w:pPr>
              <w:autoSpaceDE w:val="0"/>
              <w:autoSpaceDN w:val="0"/>
              <w:adjustRightInd w:val="0"/>
              <w:spacing w:line="240" w:lineRule="auto"/>
              <w:ind w:right="137"/>
              <w:jc w:val="right"/>
              <w:rPr>
                <w:rFonts w:ascii="Arial" w:hAnsi="Arial" w:cs="Arial"/>
                <w:sz w:val="20"/>
              </w:rPr>
            </w:pPr>
            <w:r w:rsidRPr="007E765E">
              <w:rPr>
                <w:rFonts w:ascii="Arial" w:hAnsi="Arial" w:cs="Arial"/>
                <w:sz w:val="20"/>
              </w:rPr>
              <w:t>49.654.975,93</w:t>
            </w:r>
          </w:p>
        </w:tc>
      </w:tr>
      <w:tr w:rsidR="00B63E79" w:rsidRPr="007E765E" w:rsidTr="0061308B">
        <w:tc>
          <w:tcPr>
            <w:tcW w:w="2376" w:type="dxa"/>
            <w:shd w:val="clear" w:color="auto" w:fill="auto"/>
          </w:tcPr>
          <w:p w:rsidR="00B63E79" w:rsidRPr="007E765E" w:rsidRDefault="00B63E79" w:rsidP="0061308B">
            <w:pPr>
              <w:autoSpaceDE w:val="0"/>
              <w:autoSpaceDN w:val="0"/>
              <w:adjustRightInd w:val="0"/>
              <w:spacing w:line="240" w:lineRule="auto"/>
              <w:jc w:val="both"/>
              <w:rPr>
                <w:rFonts w:ascii="Arial" w:hAnsi="Arial" w:cs="Arial"/>
                <w:sz w:val="20"/>
              </w:rPr>
            </w:pPr>
            <w:r w:rsidRPr="007E765E">
              <w:rPr>
                <w:rFonts w:ascii="Arial" w:hAnsi="Arial" w:cs="Arial"/>
                <w:sz w:val="20"/>
              </w:rPr>
              <w:t>Progetto 2018</w:t>
            </w:r>
          </w:p>
        </w:tc>
        <w:tc>
          <w:tcPr>
            <w:tcW w:w="2268" w:type="dxa"/>
            <w:shd w:val="clear" w:color="auto" w:fill="auto"/>
          </w:tcPr>
          <w:p w:rsidR="00B63E79" w:rsidRPr="00C070DD" w:rsidRDefault="00B63E79" w:rsidP="0061308B">
            <w:pPr>
              <w:autoSpaceDE w:val="0"/>
              <w:autoSpaceDN w:val="0"/>
              <w:adjustRightInd w:val="0"/>
              <w:spacing w:line="240" w:lineRule="auto"/>
              <w:ind w:right="137"/>
              <w:jc w:val="right"/>
              <w:rPr>
                <w:rFonts w:ascii="Arial" w:hAnsi="Arial" w:cs="Arial"/>
                <w:b/>
                <w:sz w:val="20"/>
              </w:rPr>
            </w:pPr>
            <w:r w:rsidRPr="00C070DD">
              <w:rPr>
                <w:rFonts w:ascii="Arial" w:hAnsi="Arial" w:cs="Arial"/>
                <w:b/>
                <w:sz w:val="20"/>
              </w:rPr>
              <w:t xml:space="preserve">118.661.596,98 </w:t>
            </w:r>
          </w:p>
        </w:tc>
        <w:tc>
          <w:tcPr>
            <w:tcW w:w="1839" w:type="dxa"/>
            <w:shd w:val="clear" w:color="auto" w:fill="auto"/>
          </w:tcPr>
          <w:p w:rsidR="00B63E79" w:rsidRPr="007E765E" w:rsidRDefault="00B63E79" w:rsidP="0061308B">
            <w:pPr>
              <w:autoSpaceDE w:val="0"/>
              <w:autoSpaceDN w:val="0"/>
              <w:adjustRightInd w:val="0"/>
              <w:spacing w:line="240" w:lineRule="auto"/>
              <w:ind w:right="137"/>
              <w:jc w:val="right"/>
              <w:rPr>
                <w:rFonts w:ascii="Arial" w:hAnsi="Arial" w:cs="Arial"/>
                <w:sz w:val="20"/>
              </w:rPr>
            </w:pPr>
            <w:r w:rsidRPr="007E765E">
              <w:rPr>
                <w:rFonts w:ascii="Arial" w:hAnsi="Arial" w:cs="Arial"/>
                <w:sz w:val="20"/>
              </w:rPr>
              <w:t>64.118.793,93</w:t>
            </w:r>
          </w:p>
        </w:tc>
        <w:tc>
          <w:tcPr>
            <w:tcW w:w="2161" w:type="dxa"/>
            <w:shd w:val="clear" w:color="auto" w:fill="auto"/>
          </w:tcPr>
          <w:p w:rsidR="00B63E79" w:rsidRPr="007E765E" w:rsidRDefault="00B63E79" w:rsidP="0061308B">
            <w:pPr>
              <w:autoSpaceDE w:val="0"/>
              <w:autoSpaceDN w:val="0"/>
              <w:adjustRightInd w:val="0"/>
              <w:spacing w:line="240" w:lineRule="auto"/>
              <w:ind w:right="137"/>
              <w:jc w:val="right"/>
              <w:rPr>
                <w:rFonts w:ascii="Arial" w:hAnsi="Arial" w:cs="Arial"/>
                <w:sz w:val="20"/>
              </w:rPr>
            </w:pPr>
            <w:r w:rsidRPr="007E765E">
              <w:rPr>
                <w:rFonts w:ascii="Arial" w:hAnsi="Arial" w:cs="Arial"/>
                <w:sz w:val="20"/>
              </w:rPr>
              <w:t>54.542.803,05</w:t>
            </w:r>
          </w:p>
        </w:tc>
      </w:tr>
    </w:tbl>
    <w:p w:rsidR="00B63E79" w:rsidRDefault="00B63E79" w:rsidP="00B63E79">
      <w:pPr>
        <w:numPr>
          <w:ilvl w:val="0"/>
          <w:numId w:val="5"/>
        </w:numPr>
        <w:tabs>
          <w:tab w:val="num" w:pos="426"/>
        </w:tabs>
        <w:autoSpaceDE w:val="0"/>
        <w:autoSpaceDN w:val="0"/>
        <w:adjustRightInd w:val="0"/>
        <w:spacing w:before="240" w:after="120" w:line="240" w:lineRule="auto"/>
        <w:ind w:left="425" w:hanging="425"/>
        <w:jc w:val="both"/>
        <w:rPr>
          <w:rFonts w:ascii="Arial" w:hAnsi="Arial" w:cs="Arial"/>
        </w:rPr>
      </w:pPr>
      <w:r>
        <w:rPr>
          <w:rFonts w:ascii="Arial" w:hAnsi="Arial" w:cs="Arial"/>
        </w:rPr>
        <w:t>il costo del progetto 2018 relativo alla tratta EUR</w:t>
      </w:r>
      <w:r w:rsidRPr="00A321C5">
        <w:rPr>
          <w:rFonts w:ascii="Arial" w:hAnsi="Arial" w:cs="Arial"/>
        </w:rPr>
        <w:t>-Tor de’ Cenci</w:t>
      </w:r>
      <w:r>
        <w:rPr>
          <w:rFonts w:ascii="Arial" w:hAnsi="Arial" w:cs="Arial"/>
        </w:rPr>
        <w:t xml:space="preserve"> non comprende l’ammontare delle opere provvisorie, ed è comunque relativo alle sole opere connesse alla linea elettrica bifilare e ai relativi filoveicoli, mentre gli autobus a servizio delle tratte non elettrificate non sono finanziati a carico della legge n. 211 del 1992;</w:t>
      </w:r>
    </w:p>
    <w:p w:rsidR="00B63E79" w:rsidRDefault="00B63E79" w:rsidP="00B63E79">
      <w:pPr>
        <w:numPr>
          <w:ilvl w:val="0"/>
          <w:numId w:val="5"/>
        </w:numPr>
        <w:tabs>
          <w:tab w:val="num" w:pos="426"/>
        </w:tabs>
        <w:autoSpaceDE w:val="0"/>
        <w:autoSpaceDN w:val="0"/>
        <w:adjustRightInd w:val="0"/>
        <w:spacing w:before="240" w:after="120" w:line="240" w:lineRule="auto"/>
        <w:ind w:left="425" w:hanging="425"/>
        <w:jc w:val="both"/>
        <w:rPr>
          <w:rFonts w:ascii="Arial" w:hAnsi="Arial" w:cs="Arial"/>
        </w:rPr>
      </w:pPr>
      <w:r>
        <w:rPr>
          <w:rFonts w:ascii="Arial" w:hAnsi="Arial" w:cs="Arial"/>
        </w:rPr>
        <w:t xml:space="preserve">il costo dell’intervento, aggiornato al 2018, </w:t>
      </w:r>
      <w:r w:rsidRPr="00E73760">
        <w:rPr>
          <w:rFonts w:ascii="Arial" w:hAnsi="Arial" w:cs="Arial"/>
        </w:rPr>
        <w:t xml:space="preserve">è riportato nella seguente tabella, in cui </w:t>
      </w:r>
      <w:r>
        <w:rPr>
          <w:rFonts w:ascii="Arial" w:hAnsi="Arial" w:cs="Arial"/>
        </w:rPr>
        <w:t xml:space="preserve">analogamente alla tabella riferita alla fase ante-gara </w:t>
      </w:r>
      <w:r w:rsidRPr="00E73760">
        <w:rPr>
          <w:rFonts w:ascii="Arial" w:hAnsi="Arial" w:cs="Arial"/>
        </w:rPr>
        <w:t>sono esposti anche i relativi finanziamenti statali e non statali</w:t>
      </w:r>
      <w:r>
        <w:rPr>
          <w:rFonts w:ascii="Arial" w:hAnsi="Arial" w:cs="Arial"/>
        </w:rPr>
        <w:t xml:space="preserve"> aggiornati, oltre al costo ulteriore, non legato al costo dell’intervento oggetto della presente delibera, degli interventi non finanziabili con la citata legge n. 211 del 1992:</w:t>
      </w:r>
    </w:p>
    <w:p w:rsidR="00E71DBC" w:rsidRDefault="00E71DBC" w:rsidP="0034635A">
      <w:pPr>
        <w:autoSpaceDE w:val="0"/>
        <w:autoSpaceDN w:val="0"/>
        <w:adjustRightInd w:val="0"/>
        <w:spacing w:before="240" w:after="120" w:line="240" w:lineRule="auto"/>
        <w:jc w:val="both"/>
        <w:rPr>
          <w:rFonts w:ascii="Arial" w:hAnsi="Arial" w:cs="Arial"/>
        </w:rPr>
      </w:pPr>
    </w:p>
    <w:tbl>
      <w:tblPr>
        <w:tblW w:w="88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544"/>
        <w:gridCol w:w="1528"/>
        <w:gridCol w:w="1409"/>
        <w:gridCol w:w="1410"/>
        <w:gridCol w:w="1409"/>
      </w:tblGrid>
      <w:tr w:rsidR="00B63E79" w:rsidRPr="00E71DBC" w:rsidTr="0061308B">
        <w:tc>
          <w:tcPr>
            <w:tcW w:w="1668" w:type="dxa"/>
            <w:tcBorders>
              <w:top w:val="single" w:sz="4" w:space="0" w:color="auto"/>
              <w:left w:val="single" w:sz="4" w:space="0" w:color="auto"/>
              <w:right w:val="single" w:sz="4" w:space="0" w:color="auto"/>
            </w:tcBorders>
            <w:shd w:val="clear" w:color="auto" w:fill="auto"/>
          </w:tcPr>
          <w:p w:rsidR="00B63E79" w:rsidRPr="00E71DBC" w:rsidRDefault="00B63E79" w:rsidP="0061308B">
            <w:pPr>
              <w:autoSpaceDE w:val="0"/>
              <w:autoSpaceDN w:val="0"/>
              <w:adjustRightInd w:val="0"/>
              <w:spacing w:before="20" w:after="20" w:line="240" w:lineRule="auto"/>
              <w:jc w:val="center"/>
              <w:rPr>
                <w:rFonts w:ascii="Arial" w:hAnsi="Arial" w:cs="Arial"/>
                <w:sz w:val="20"/>
                <w:szCs w:val="20"/>
              </w:rPr>
            </w:pPr>
          </w:p>
        </w:tc>
        <w:tc>
          <w:tcPr>
            <w:tcW w:w="1559" w:type="dxa"/>
            <w:tcBorders>
              <w:top w:val="single" w:sz="4" w:space="0" w:color="auto"/>
              <w:left w:val="single" w:sz="4" w:space="0" w:color="auto"/>
            </w:tcBorders>
            <w:shd w:val="clear" w:color="auto" w:fill="auto"/>
            <w:vAlign w:val="center"/>
          </w:tcPr>
          <w:p w:rsidR="00B63E79" w:rsidRPr="00E71DBC" w:rsidRDefault="00B63E79" w:rsidP="0061308B">
            <w:pPr>
              <w:autoSpaceDE w:val="0"/>
              <w:autoSpaceDN w:val="0"/>
              <w:adjustRightInd w:val="0"/>
              <w:spacing w:before="20" w:after="20" w:line="240" w:lineRule="auto"/>
              <w:jc w:val="center"/>
              <w:rPr>
                <w:rFonts w:ascii="Arial" w:hAnsi="Arial" w:cs="Arial"/>
                <w:b/>
                <w:sz w:val="20"/>
                <w:szCs w:val="20"/>
              </w:rPr>
            </w:pPr>
            <w:r w:rsidRPr="00E71DBC">
              <w:rPr>
                <w:rFonts w:ascii="Arial" w:hAnsi="Arial" w:cs="Arial"/>
                <w:b/>
                <w:sz w:val="20"/>
                <w:szCs w:val="20"/>
              </w:rPr>
              <w:t>Totale</w:t>
            </w:r>
          </w:p>
        </w:tc>
        <w:tc>
          <w:tcPr>
            <w:tcW w:w="1418" w:type="dxa"/>
            <w:shd w:val="clear" w:color="auto" w:fill="auto"/>
            <w:vAlign w:val="center"/>
          </w:tcPr>
          <w:p w:rsidR="00B63E79" w:rsidRPr="00E71DBC" w:rsidRDefault="00B63E79" w:rsidP="0061308B">
            <w:pPr>
              <w:autoSpaceDE w:val="0"/>
              <w:autoSpaceDN w:val="0"/>
              <w:adjustRightInd w:val="0"/>
              <w:spacing w:before="20" w:after="20" w:line="240" w:lineRule="auto"/>
              <w:jc w:val="center"/>
              <w:rPr>
                <w:rFonts w:ascii="Arial" w:hAnsi="Arial" w:cs="Arial"/>
                <w:sz w:val="20"/>
                <w:szCs w:val="20"/>
              </w:rPr>
            </w:pPr>
            <w:r w:rsidRPr="00E71DBC">
              <w:rPr>
                <w:rFonts w:ascii="Arial" w:hAnsi="Arial" w:cs="Arial"/>
                <w:sz w:val="20"/>
                <w:szCs w:val="20"/>
              </w:rPr>
              <w:t>Finanziamento L. n. 211 del 1992</w:t>
            </w:r>
          </w:p>
        </w:tc>
        <w:tc>
          <w:tcPr>
            <w:tcW w:w="1417" w:type="dxa"/>
            <w:shd w:val="clear" w:color="auto" w:fill="auto"/>
            <w:vAlign w:val="center"/>
          </w:tcPr>
          <w:p w:rsidR="00B63E79" w:rsidRPr="00E71DBC" w:rsidRDefault="00B63E79" w:rsidP="0061308B">
            <w:pPr>
              <w:autoSpaceDE w:val="0"/>
              <w:autoSpaceDN w:val="0"/>
              <w:adjustRightInd w:val="0"/>
              <w:spacing w:before="20" w:after="20" w:line="240" w:lineRule="auto"/>
              <w:jc w:val="center"/>
              <w:rPr>
                <w:rFonts w:ascii="Arial" w:hAnsi="Arial" w:cs="Arial"/>
                <w:sz w:val="20"/>
                <w:szCs w:val="20"/>
              </w:rPr>
            </w:pPr>
            <w:r w:rsidRPr="00E71DBC">
              <w:rPr>
                <w:rFonts w:ascii="Arial" w:hAnsi="Arial" w:cs="Arial"/>
                <w:sz w:val="20"/>
                <w:szCs w:val="20"/>
              </w:rPr>
              <w:t xml:space="preserve">Comune di Roma </w:t>
            </w:r>
            <w:r w:rsidRPr="00E71DBC">
              <w:rPr>
                <w:rFonts w:ascii="Arial" w:hAnsi="Arial" w:cs="Arial"/>
                <w:i/>
                <w:sz w:val="20"/>
                <w:szCs w:val="20"/>
              </w:rPr>
              <w:t xml:space="preserve">ex </w:t>
            </w:r>
            <w:proofErr w:type="spellStart"/>
            <w:r w:rsidRPr="00E71DBC">
              <w:rPr>
                <w:rFonts w:ascii="Arial" w:hAnsi="Arial" w:cs="Arial"/>
                <w:i/>
                <w:sz w:val="20"/>
                <w:szCs w:val="20"/>
              </w:rPr>
              <w:t>lege</w:t>
            </w:r>
            <w:proofErr w:type="spellEnd"/>
            <w:r w:rsidRPr="00E71DBC">
              <w:rPr>
                <w:rFonts w:ascii="Arial" w:hAnsi="Arial" w:cs="Arial"/>
                <w:sz w:val="20"/>
                <w:szCs w:val="20"/>
              </w:rPr>
              <w:t xml:space="preserve"> n. 211 del 1992</w:t>
            </w:r>
          </w:p>
        </w:tc>
        <w:tc>
          <w:tcPr>
            <w:tcW w:w="1418" w:type="dxa"/>
            <w:shd w:val="clear" w:color="auto" w:fill="auto"/>
            <w:vAlign w:val="center"/>
          </w:tcPr>
          <w:p w:rsidR="00B63E79" w:rsidRPr="00E71DBC" w:rsidRDefault="00B63E79" w:rsidP="0061308B">
            <w:pPr>
              <w:autoSpaceDE w:val="0"/>
              <w:autoSpaceDN w:val="0"/>
              <w:adjustRightInd w:val="0"/>
              <w:spacing w:before="20" w:after="20" w:line="240" w:lineRule="auto"/>
              <w:jc w:val="center"/>
              <w:rPr>
                <w:rFonts w:ascii="Arial" w:hAnsi="Arial" w:cs="Arial"/>
                <w:sz w:val="20"/>
                <w:szCs w:val="20"/>
              </w:rPr>
            </w:pPr>
            <w:r w:rsidRPr="00E71DBC">
              <w:rPr>
                <w:rFonts w:ascii="Arial" w:hAnsi="Arial" w:cs="Arial"/>
                <w:sz w:val="20"/>
                <w:szCs w:val="20"/>
              </w:rPr>
              <w:t>L. n. 396 del</w:t>
            </w:r>
            <w:r w:rsidRPr="00E71DBC">
              <w:rPr>
                <w:rFonts w:ascii="Arial" w:hAnsi="Arial" w:cs="Arial"/>
                <w:color w:val="FF0000"/>
                <w:sz w:val="20"/>
                <w:szCs w:val="20"/>
              </w:rPr>
              <w:t xml:space="preserve"> </w:t>
            </w:r>
            <w:r w:rsidRPr="00E71DBC">
              <w:rPr>
                <w:rFonts w:ascii="Arial" w:hAnsi="Arial" w:cs="Arial"/>
                <w:sz w:val="20"/>
                <w:szCs w:val="20"/>
              </w:rPr>
              <w:t>1990</w:t>
            </w:r>
          </w:p>
          <w:p w:rsidR="00B63E79" w:rsidRPr="00E71DBC" w:rsidRDefault="00B63E79" w:rsidP="0061308B">
            <w:pPr>
              <w:autoSpaceDE w:val="0"/>
              <w:autoSpaceDN w:val="0"/>
              <w:adjustRightInd w:val="0"/>
              <w:spacing w:before="20" w:after="20" w:line="240" w:lineRule="auto"/>
              <w:jc w:val="center"/>
              <w:rPr>
                <w:rFonts w:ascii="Arial" w:hAnsi="Arial" w:cs="Arial"/>
                <w:sz w:val="20"/>
                <w:szCs w:val="20"/>
              </w:rPr>
            </w:pPr>
            <w:r w:rsidRPr="00E71DBC">
              <w:rPr>
                <w:rFonts w:ascii="Arial" w:hAnsi="Arial" w:cs="Arial"/>
                <w:sz w:val="20"/>
                <w:szCs w:val="20"/>
              </w:rPr>
              <w:t>Roma Capitale</w:t>
            </w:r>
          </w:p>
        </w:tc>
        <w:tc>
          <w:tcPr>
            <w:tcW w:w="1417" w:type="dxa"/>
            <w:shd w:val="clear" w:color="auto" w:fill="auto"/>
            <w:vAlign w:val="center"/>
          </w:tcPr>
          <w:p w:rsidR="00B63E79" w:rsidRPr="00E71DBC" w:rsidRDefault="00B63E79" w:rsidP="001D6A34">
            <w:pPr>
              <w:autoSpaceDE w:val="0"/>
              <w:autoSpaceDN w:val="0"/>
              <w:adjustRightInd w:val="0"/>
              <w:spacing w:before="20" w:after="20" w:line="240" w:lineRule="auto"/>
              <w:jc w:val="center"/>
              <w:rPr>
                <w:rFonts w:ascii="Arial" w:hAnsi="Arial" w:cs="Arial"/>
                <w:sz w:val="20"/>
                <w:szCs w:val="20"/>
              </w:rPr>
            </w:pPr>
            <w:r w:rsidRPr="00E71DBC">
              <w:rPr>
                <w:rFonts w:ascii="Arial" w:hAnsi="Arial" w:cs="Arial"/>
                <w:sz w:val="20"/>
                <w:szCs w:val="20"/>
              </w:rPr>
              <w:t>Legge Regionale</w:t>
            </w:r>
            <w:r w:rsidR="001D6A34" w:rsidRPr="00E71DBC">
              <w:rPr>
                <w:rFonts w:ascii="Arial" w:hAnsi="Arial" w:cs="Arial"/>
                <w:sz w:val="20"/>
                <w:szCs w:val="20"/>
              </w:rPr>
              <w:t xml:space="preserve"> del Lazio</w:t>
            </w:r>
            <w:r w:rsidRPr="00E71DBC">
              <w:rPr>
                <w:rFonts w:ascii="Arial" w:hAnsi="Arial" w:cs="Arial"/>
                <w:sz w:val="20"/>
                <w:szCs w:val="20"/>
              </w:rPr>
              <w:t xml:space="preserve"> n. 4 del 2006</w:t>
            </w:r>
          </w:p>
        </w:tc>
      </w:tr>
      <w:tr w:rsidR="00B63E79" w:rsidRPr="00D636F9" w:rsidTr="0061308B">
        <w:tc>
          <w:tcPr>
            <w:tcW w:w="1668" w:type="dxa"/>
            <w:shd w:val="clear" w:color="auto" w:fill="auto"/>
          </w:tcPr>
          <w:p w:rsidR="00B63E79" w:rsidRPr="00E71DBC" w:rsidRDefault="00B63E79" w:rsidP="0061308B">
            <w:pPr>
              <w:autoSpaceDE w:val="0"/>
              <w:autoSpaceDN w:val="0"/>
              <w:adjustRightInd w:val="0"/>
              <w:spacing w:before="20" w:after="20" w:line="240" w:lineRule="auto"/>
              <w:jc w:val="both"/>
              <w:rPr>
                <w:rFonts w:ascii="Arial" w:hAnsi="Arial" w:cs="Arial"/>
                <w:sz w:val="20"/>
                <w:szCs w:val="20"/>
              </w:rPr>
            </w:pPr>
            <w:r w:rsidRPr="00E71DBC">
              <w:rPr>
                <w:rFonts w:ascii="Arial" w:hAnsi="Arial" w:cs="Arial"/>
                <w:sz w:val="20"/>
                <w:szCs w:val="20"/>
              </w:rPr>
              <w:t>Costo finanziabile L. n. 211 del 1992</w:t>
            </w:r>
          </w:p>
        </w:tc>
        <w:tc>
          <w:tcPr>
            <w:tcW w:w="1559"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b/>
                <w:bCs/>
                <w:sz w:val="18"/>
              </w:rPr>
              <w:t>118.661.596,98</w:t>
            </w:r>
          </w:p>
        </w:tc>
        <w:tc>
          <w:tcPr>
            <w:tcW w:w="1418"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bCs/>
                <w:sz w:val="18"/>
              </w:rPr>
              <w:t>64.118.793,93</w:t>
            </w:r>
          </w:p>
        </w:tc>
        <w:tc>
          <w:tcPr>
            <w:tcW w:w="1417"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sz w:val="18"/>
              </w:rPr>
              <w:t>21.865.659,88</w:t>
            </w:r>
          </w:p>
        </w:tc>
        <w:tc>
          <w:tcPr>
            <w:tcW w:w="1418"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sz w:val="18"/>
              </w:rPr>
              <w:t>23.677.143,17</w:t>
            </w:r>
          </w:p>
        </w:tc>
        <w:tc>
          <w:tcPr>
            <w:tcW w:w="1417"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sz w:val="18"/>
              </w:rPr>
              <w:t>9.000.000,00</w:t>
            </w:r>
          </w:p>
        </w:tc>
      </w:tr>
      <w:tr w:rsidR="00B63E79" w:rsidRPr="00D636F9" w:rsidTr="0061308B">
        <w:tc>
          <w:tcPr>
            <w:tcW w:w="1668" w:type="dxa"/>
            <w:shd w:val="clear" w:color="auto" w:fill="auto"/>
          </w:tcPr>
          <w:p w:rsidR="00B63E79" w:rsidRPr="00E71DBC" w:rsidRDefault="00B63E79" w:rsidP="0061308B">
            <w:pPr>
              <w:autoSpaceDE w:val="0"/>
              <w:autoSpaceDN w:val="0"/>
              <w:adjustRightInd w:val="0"/>
              <w:spacing w:before="20" w:after="20" w:line="240" w:lineRule="auto"/>
              <w:rPr>
                <w:rFonts w:ascii="Arial" w:hAnsi="Arial" w:cs="Arial"/>
                <w:sz w:val="20"/>
                <w:szCs w:val="20"/>
              </w:rPr>
            </w:pPr>
            <w:r w:rsidRPr="00E71DBC">
              <w:rPr>
                <w:rFonts w:ascii="Arial" w:hAnsi="Arial" w:cs="Arial"/>
                <w:sz w:val="20"/>
                <w:szCs w:val="20"/>
              </w:rPr>
              <w:t>Costo non finanziabile su fondi statali</w:t>
            </w:r>
          </w:p>
        </w:tc>
        <w:tc>
          <w:tcPr>
            <w:tcW w:w="1559"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b/>
                <w:bCs/>
                <w:sz w:val="18"/>
              </w:rPr>
              <w:t>29.265.155,78</w:t>
            </w:r>
          </w:p>
        </w:tc>
        <w:tc>
          <w:tcPr>
            <w:tcW w:w="1418"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sz w:val="18"/>
              </w:rPr>
              <w:t>---</w:t>
            </w:r>
          </w:p>
        </w:tc>
        <w:tc>
          <w:tcPr>
            <w:tcW w:w="1417"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sz w:val="18"/>
              </w:rPr>
              <w:t>13.599.540,12</w:t>
            </w:r>
          </w:p>
        </w:tc>
        <w:tc>
          <w:tcPr>
            <w:tcW w:w="1418"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sz w:val="18"/>
              </w:rPr>
              <w:t>7.988.151,71</w:t>
            </w:r>
          </w:p>
        </w:tc>
        <w:tc>
          <w:tcPr>
            <w:tcW w:w="1417"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sz w:val="18"/>
              </w:rPr>
              <w:t>7.677.463,94</w:t>
            </w:r>
          </w:p>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sz w:val="18"/>
              </w:rPr>
              <w:t>(*)</w:t>
            </w:r>
          </w:p>
        </w:tc>
      </w:tr>
      <w:tr w:rsidR="00B63E79" w:rsidRPr="00D636F9" w:rsidTr="0061308B">
        <w:tc>
          <w:tcPr>
            <w:tcW w:w="1668"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b/>
                <w:sz w:val="18"/>
              </w:rPr>
            </w:pPr>
            <w:r w:rsidRPr="00D636F9">
              <w:rPr>
                <w:rFonts w:ascii="Arial" w:hAnsi="Arial" w:cs="Arial"/>
                <w:b/>
                <w:sz w:val="18"/>
              </w:rPr>
              <w:t>Totale</w:t>
            </w:r>
          </w:p>
        </w:tc>
        <w:tc>
          <w:tcPr>
            <w:tcW w:w="1559"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b/>
                <w:sz w:val="18"/>
              </w:rPr>
            </w:pPr>
            <w:r w:rsidRPr="00D636F9">
              <w:rPr>
                <w:rFonts w:ascii="Arial" w:hAnsi="Arial" w:cs="Arial"/>
                <w:b/>
                <w:bCs/>
                <w:sz w:val="18"/>
              </w:rPr>
              <w:t>147.926.752,76</w:t>
            </w:r>
          </w:p>
        </w:tc>
        <w:tc>
          <w:tcPr>
            <w:tcW w:w="1418"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bCs/>
                <w:sz w:val="18"/>
              </w:rPr>
              <w:t>64.118.793,93</w:t>
            </w:r>
          </w:p>
        </w:tc>
        <w:tc>
          <w:tcPr>
            <w:tcW w:w="1417"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sz w:val="18"/>
              </w:rPr>
            </w:pPr>
            <w:r w:rsidRPr="00D636F9">
              <w:rPr>
                <w:rFonts w:ascii="Arial" w:hAnsi="Arial" w:cs="Arial"/>
                <w:bCs/>
                <w:sz w:val="18"/>
              </w:rPr>
              <w:t>35.465.200,00</w:t>
            </w:r>
          </w:p>
        </w:tc>
        <w:tc>
          <w:tcPr>
            <w:tcW w:w="1418"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bCs/>
                <w:sz w:val="18"/>
              </w:rPr>
            </w:pPr>
            <w:r w:rsidRPr="00D636F9">
              <w:rPr>
                <w:rFonts w:ascii="Arial" w:hAnsi="Arial" w:cs="Arial"/>
                <w:bCs/>
                <w:sz w:val="18"/>
              </w:rPr>
              <w:t>31.665.294,88</w:t>
            </w:r>
          </w:p>
        </w:tc>
        <w:tc>
          <w:tcPr>
            <w:tcW w:w="1417" w:type="dxa"/>
            <w:shd w:val="clear" w:color="auto" w:fill="auto"/>
          </w:tcPr>
          <w:p w:rsidR="00B63E79" w:rsidRPr="00D636F9" w:rsidRDefault="00B63E79" w:rsidP="0061308B">
            <w:pPr>
              <w:autoSpaceDE w:val="0"/>
              <w:autoSpaceDN w:val="0"/>
              <w:adjustRightInd w:val="0"/>
              <w:spacing w:before="20" w:after="20" w:line="240" w:lineRule="auto"/>
              <w:jc w:val="right"/>
              <w:rPr>
                <w:rFonts w:ascii="Arial" w:hAnsi="Arial" w:cs="Arial"/>
                <w:bCs/>
                <w:sz w:val="18"/>
              </w:rPr>
            </w:pPr>
            <w:r w:rsidRPr="00D636F9">
              <w:rPr>
                <w:rFonts w:ascii="Arial" w:hAnsi="Arial" w:cs="Arial"/>
                <w:bCs/>
                <w:sz w:val="18"/>
              </w:rPr>
              <w:t>16.677.463,94</w:t>
            </w:r>
          </w:p>
        </w:tc>
      </w:tr>
    </w:tbl>
    <w:p w:rsidR="00B63E79" w:rsidRPr="00FF5263" w:rsidRDefault="00B63E79" w:rsidP="00B63E79">
      <w:pPr>
        <w:autoSpaceDE w:val="0"/>
        <w:autoSpaceDN w:val="0"/>
        <w:adjustRightInd w:val="0"/>
        <w:spacing w:before="120" w:after="240" w:line="240" w:lineRule="auto"/>
        <w:jc w:val="right"/>
        <w:rPr>
          <w:rFonts w:ascii="Arial" w:hAnsi="Arial" w:cs="Arial"/>
          <w:i/>
          <w:sz w:val="18"/>
        </w:rPr>
      </w:pPr>
      <w:r w:rsidRPr="00FF5263">
        <w:rPr>
          <w:rFonts w:ascii="Arial" w:hAnsi="Arial" w:cs="Arial"/>
          <w:i/>
          <w:sz w:val="18"/>
        </w:rPr>
        <w:t>(*) Finanziamento regionale perente.</w:t>
      </w:r>
    </w:p>
    <w:p w:rsidR="00B63E79" w:rsidRPr="009D5F54" w:rsidRDefault="00B63E79" w:rsidP="00320DF0">
      <w:pPr>
        <w:numPr>
          <w:ilvl w:val="0"/>
          <w:numId w:val="5"/>
        </w:numPr>
        <w:tabs>
          <w:tab w:val="num" w:pos="426"/>
        </w:tabs>
        <w:autoSpaceDE w:val="0"/>
        <w:autoSpaceDN w:val="0"/>
        <w:adjustRightInd w:val="0"/>
        <w:spacing w:before="120" w:after="120" w:line="240" w:lineRule="auto"/>
        <w:ind w:left="425" w:hanging="425"/>
        <w:jc w:val="both"/>
        <w:rPr>
          <w:rFonts w:ascii="Arial" w:hAnsi="Arial" w:cs="Arial"/>
        </w:rPr>
      </w:pPr>
      <w:r w:rsidRPr="009D5F54">
        <w:rPr>
          <w:rFonts w:ascii="Arial" w:hAnsi="Arial" w:cs="Arial"/>
        </w:rPr>
        <w:t>che, per quanto riguarda i finanziamenti regionali:</w:t>
      </w:r>
    </w:p>
    <w:p w:rsidR="00B63E79" w:rsidRPr="009D5F54" w:rsidRDefault="00B63E79" w:rsidP="00320DF0">
      <w:pPr>
        <w:numPr>
          <w:ilvl w:val="1"/>
          <w:numId w:val="5"/>
        </w:numPr>
        <w:tabs>
          <w:tab w:val="left" w:pos="993"/>
        </w:tabs>
        <w:autoSpaceDE w:val="0"/>
        <w:autoSpaceDN w:val="0"/>
        <w:adjustRightInd w:val="0"/>
        <w:spacing w:before="120" w:after="120" w:line="240" w:lineRule="auto"/>
        <w:jc w:val="both"/>
        <w:rPr>
          <w:rFonts w:ascii="Arial" w:hAnsi="Arial" w:cs="Arial"/>
        </w:rPr>
      </w:pPr>
      <w:r w:rsidRPr="009D5F54">
        <w:rPr>
          <w:rFonts w:ascii="Arial" w:hAnsi="Arial" w:cs="Arial"/>
          <w:bCs/>
        </w:rPr>
        <w:t>ammontano a 9.000.000 euro per la parte relativa al costo finanziabile con la legge n. 211 del 1992</w:t>
      </w:r>
      <w:r w:rsidRPr="009D5F54">
        <w:rPr>
          <w:rFonts w:ascii="Arial" w:hAnsi="Arial" w:cs="Arial"/>
        </w:rPr>
        <w:t>;</w:t>
      </w:r>
    </w:p>
    <w:p w:rsidR="00B63E79" w:rsidRPr="009D5F54" w:rsidRDefault="00B63E79" w:rsidP="00320DF0">
      <w:pPr>
        <w:numPr>
          <w:ilvl w:val="1"/>
          <w:numId w:val="5"/>
        </w:numPr>
        <w:tabs>
          <w:tab w:val="left" w:pos="993"/>
        </w:tabs>
        <w:autoSpaceDE w:val="0"/>
        <w:autoSpaceDN w:val="0"/>
        <w:adjustRightInd w:val="0"/>
        <w:spacing w:before="120" w:after="120" w:line="240" w:lineRule="auto"/>
        <w:ind w:left="992" w:hanging="567"/>
        <w:jc w:val="both"/>
        <w:rPr>
          <w:rFonts w:ascii="Arial" w:hAnsi="Arial" w:cs="Arial"/>
        </w:rPr>
      </w:pPr>
      <w:r w:rsidRPr="009D5F54">
        <w:rPr>
          <w:rFonts w:ascii="Arial" w:hAnsi="Arial" w:cs="Arial"/>
        </w:rPr>
        <w:t xml:space="preserve">ammontano a circa 7,677 milioni di euro (ovvero 7.677.463,94 euro senza arrotondamento) per le somme non finanziabili con la legge n. 211 del 1992, </w:t>
      </w:r>
      <w:r w:rsidRPr="009D5F54">
        <w:rPr>
          <w:rFonts w:ascii="Arial" w:hAnsi="Arial" w:cs="Arial"/>
        </w:rPr>
        <w:lastRenderedPageBreak/>
        <w:t xml:space="preserve">per le quali la Regione ha chiesto la </w:t>
      </w:r>
      <w:proofErr w:type="spellStart"/>
      <w:r w:rsidRPr="009D5F54">
        <w:rPr>
          <w:rFonts w:ascii="Arial" w:hAnsi="Arial" w:cs="Arial"/>
        </w:rPr>
        <w:t>reimputazione</w:t>
      </w:r>
      <w:proofErr w:type="spellEnd"/>
      <w:r w:rsidRPr="009D5F54">
        <w:rPr>
          <w:rFonts w:ascii="Arial" w:hAnsi="Arial" w:cs="Arial"/>
        </w:rPr>
        <w:t xml:space="preserve"> sul bilancio pluriennale della ulteriore maggiore somma di 9.000.000 euro, ad oggi non disponibile, ma già oggetto d’impegno di spesa nel 2006, in quanto è ancora pienamente vigente l’obbligazione giuridica di spesa precedentemente assunta da parte della Regione stessa in assenza di un atto giuridicamente vincolante che aggiorni l’impegno alla nuova somma richiesta; </w:t>
      </w:r>
    </w:p>
    <w:p w:rsidR="00D57BF5" w:rsidRPr="00B63E79" w:rsidRDefault="00D57BF5" w:rsidP="00320DF0">
      <w:pPr>
        <w:numPr>
          <w:ilvl w:val="0"/>
          <w:numId w:val="5"/>
        </w:numPr>
        <w:tabs>
          <w:tab w:val="num" w:pos="426"/>
        </w:tabs>
        <w:autoSpaceDE w:val="0"/>
        <w:autoSpaceDN w:val="0"/>
        <w:adjustRightInd w:val="0"/>
        <w:spacing w:before="120" w:after="120" w:line="240" w:lineRule="auto"/>
        <w:ind w:left="425" w:hanging="425"/>
        <w:jc w:val="both"/>
        <w:rPr>
          <w:rFonts w:ascii="Arial" w:hAnsi="Arial" w:cs="Arial"/>
        </w:rPr>
      </w:pPr>
      <w:r w:rsidRPr="00B63E79">
        <w:rPr>
          <w:rFonts w:ascii="Arial" w:hAnsi="Arial" w:cs="Arial"/>
        </w:rPr>
        <w:t>le economie di gara, pari alla differenza tra il costo del progetto di cui al citato decreto dirigenziale n. 120 del 2008 (</w:t>
      </w:r>
      <w:r w:rsidRPr="00B63E79">
        <w:rPr>
          <w:rFonts w:ascii="Arial" w:hAnsi="Arial" w:cs="Arial"/>
          <w:bCs/>
        </w:rPr>
        <w:t>131.437.667,64 euro</w:t>
      </w:r>
      <w:r w:rsidRPr="00B63E79">
        <w:rPr>
          <w:rFonts w:ascii="Arial" w:hAnsi="Arial" w:cs="Arial"/>
        </w:rPr>
        <w:t xml:space="preserve">) e il costo post gara (108.028.659,98 euro), ammontano complessivamente a 23.409.007,66 euro, di cui la quota statale è pari a 12.649.626,84, </w:t>
      </w:r>
      <w:proofErr w:type="spellStart"/>
      <w:r w:rsidRPr="00B63E79">
        <w:rPr>
          <w:rFonts w:ascii="Arial" w:hAnsi="Arial" w:cs="Arial"/>
          <w:i/>
        </w:rPr>
        <w:t>rectius</w:t>
      </w:r>
      <w:proofErr w:type="spellEnd"/>
      <w:r w:rsidRPr="00B63E79">
        <w:rPr>
          <w:rFonts w:ascii="Arial" w:hAnsi="Arial" w:cs="Arial"/>
        </w:rPr>
        <w:t xml:space="preserve"> 12.649.057,29 euro (54,035% di 23.409.007,66);</w:t>
      </w:r>
    </w:p>
    <w:p w:rsidR="00D57BF5" w:rsidRDefault="00D57BF5" w:rsidP="00320DF0">
      <w:pPr>
        <w:numPr>
          <w:ilvl w:val="0"/>
          <w:numId w:val="5"/>
        </w:numPr>
        <w:tabs>
          <w:tab w:val="num" w:pos="426"/>
        </w:tabs>
        <w:autoSpaceDE w:val="0"/>
        <w:autoSpaceDN w:val="0"/>
        <w:adjustRightInd w:val="0"/>
        <w:spacing w:before="120" w:after="120" w:line="240" w:lineRule="auto"/>
        <w:ind w:left="425" w:hanging="425"/>
        <w:jc w:val="both"/>
        <w:rPr>
          <w:rFonts w:ascii="Arial" w:hAnsi="Arial" w:cs="Arial"/>
        </w:rPr>
      </w:pPr>
      <w:r>
        <w:rPr>
          <w:rFonts w:ascii="Arial" w:hAnsi="Arial" w:cs="Arial"/>
        </w:rPr>
        <w:t xml:space="preserve">a valere su tale quota di </w:t>
      </w:r>
      <w:r w:rsidRPr="00BB748D">
        <w:rPr>
          <w:rFonts w:ascii="Arial" w:hAnsi="Arial" w:cs="Arial"/>
        </w:rPr>
        <w:t>12.649.</w:t>
      </w:r>
      <w:r w:rsidRPr="00FA1DF9">
        <w:rPr>
          <w:rFonts w:ascii="Arial" w:hAnsi="Arial" w:cs="Arial"/>
        </w:rPr>
        <w:t xml:space="preserve">057,29 </w:t>
      </w:r>
      <w:r w:rsidRPr="00BB748D">
        <w:rPr>
          <w:rFonts w:ascii="Arial" w:hAnsi="Arial" w:cs="Arial"/>
        </w:rPr>
        <w:t>euro</w:t>
      </w:r>
      <w:r>
        <w:rPr>
          <w:rFonts w:ascii="Arial" w:hAnsi="Arial" w:cs="Arial"/>
        </w:rPr>
        <w:t>, viene chiesta l’autorizzazione all’utilizzo di 5.873.055,05 euro per il finanziamento, nella citata percentuale del 54,035%, delle varianti del corridoio EUR Laurentina-Tor Pagnotta, ammontanti a complessivi 10.868.983,15 euro;</w:t>
      </w:r>
    </w:p>
    <w:p w:rsidR="00D57BF5" w:rsidRDefault="00D57BF5" w:rsidP="00320DF0">
      <w:pPr>
        <w:numPr>
          <w:ilvl w:val="0"/>
          <w:numId w:val="5"/>
        </w:numPr>
        <w:autoSpaceDE w:val="0"/>
        <w:autoSpaceDN w:val="0"/>
        <w:adjustRightInd w:val="0"/>
        <w:spacing w:before="120" w:after="120" w:line="240" w:lineRule="auto"/>
        <w:ind w:left="426" w:hanging="426"/>
        <w:jc w:val="both"/>
        <w:rPr>
          <w:rFonts w:ascii="Arial" w:hAnsi="Arial" w:cs="Arial"/>
        </w:rPr>
      </w:pPr>
      <w:r>
        <w:rPr>
          <w:rFonts w:ascii="Arial" w:hAnsi="Arial" w:cs="Arial"/>
        </w:rPr>
        <w:t xml:space="preserve">le economie residue del finanziamento statale ammontano a 6.776.571,79 euro, </w:t>
      </w:r>
      <w:proofErr w:type="spellStart"/>
      <w:r w:rsidRPr="00FA1DF9">
        <w:rPr>
          <w:rFonts w:ascii="Arial" w:hAnsi="Arial" w:cs="Arial"/>
          <w:i/>
        </w:rPr>
        <w:t>rectius</w:t>
      </w:r>
      <w:proofErr w:type="spellEnd"/>
      <w:r w:rsidRPr="00FA1DF9">
        <w:rPr>
          <w:rFonts w:ascii="Arial" w:hAnsi="Arial" w:cs="Arial"/>
        </w:rPr>
        <w:t xml:space="preserve"> 6</w:t>
      </w:r>
      <w:r>
        <w:rPr>
          <w:rFonts w:ascii="Arial" w:hAnsi="Arial" w:cs="Arial"/>
        </w:rPr>
        <w:t>.</w:t>
      </w:r>
      <w:r w:rsidRPr="00FA1DF9">
        <w:rPr>
          <w:rFonts w:ascii="Arial" w:hAnsi="Arial" w:cs="Arial"/>
        </w:rPr>
        <w:t>776</w:t>
      </w:r>
      <w:r>
        <w:rPr>
          <w:rFonts w:ascii="Arial" w:hAnsi="Arial" w:cs="Arial"/>
        </w:rPr>
        <w:t>.</w:t>
      </w:r>
      <w:r w:rsidRPr="00FA1DF9">
        <w:rPr>
          <w:rFonts w:ascii="Arial" w:hAnsi="Arial" w:cs="Arial"/>
        </w:rPr>
        <w:t>002,2</w:t>
      </w:r>
      <w:r>
        <w:rPr>
          <w:rFonts w:ascii="Arial" w:hAnsi="Arial" w:cs="Arial"/>
        </w:rPr>
        <w:t>4</w:t>
      </w:r>
      <w:r w:rsidRPr="00FA1DF9">
        <w:rPr>
          <w:rFonts w:ascii="Arial" w:hAnsi="Arial" w:cs="Arial"/>
        </w:rPr>
        <w:t xml:space="preserve"> </w:t>
      </w:r>
      <w:r>
        <w:rPr>
          <w:rFonts w:ascii="Arial" w:hAnsi="Arial" w:cs="Arial"/>
        </w:rPr>
        <w:t xml:space="preserve">euro, cui si deve aggiungere la quota di minor finanziamento statale di </w:t>
      </w:r>
      <w:r w:rsidRPr="00E014B8">
        <w:rPr>
          <w:rFonts w:ascii="Arial" w:hAnsi="Arial" w:cs="Arial"/>
        </w:rPr>
        <w:t>127.547,53</w:t>
      </w:r>
      <w:r>
        <w:rPr>
          <w:rFonts w:ascii="Arial" w:hAnsi="Arial" w:cs="Arial"/>
        </w:rPr>
        <w:t xml:space="preserve"> euro sul minor costo dei lavori (</w:t>
      </w:r>
      <w:r w:rsidRPr="009B0BB3">
        <w:rPr>
          <w:rFonts w:ascii="Arial" w:hAnsi="Arial" w:cs="Arial"/>
        </w:rPr>
        <w:t>236</w:t>
      </w:r>
      <w:r>
        <w:rPr>
          <w:rFonts w:ascii="Arial" w:hAnsi="Arial" w:cs="Arial"/>
        </w:rPr>
        <w:t>.</w:t>
      </w:r>
      <w:r w:rsidRPr="009B0BB3">
        <w:rPr>
          <w:rFonts w:ascii="Arial" w:hAnsi="Arial" w:cs="Arial"/>
        </w:rPr>
        <w:t>046,14</w:t>
      </w:r>
      <w:r>
        <w:rPr>
          <w:rFonts w:ascii="Arial" w:hAnsi="Arial" w:cs="Arial"/>
        </w:rPr>
        <w:t xml:space="preserve"> euro) relativi al corridoio EUR-Tor de’ Cenci (minor finanziamento statale del 54,035% pari a </w:t>
      </w:r>
      <w:r w:rsidRPr="00E014B8">
        <w:rPr>
          <w:rFonts w:ascii="Arial" w:hAnsi="Arial" w:cs="Arial"/>
        </w:rPr>
        <w:t>127.547,53</w:t>
      </w:r>
      <w:r>
        <w:rPr>
          <w:rFonts w:ascii="Arial" w:hAnsi="Arial" w:cs="Arial"/>
        </w:rPr>
        <w:t xml:space="preserve">), per un totale </w:t>
      </w:r>
      <w:r w:rsidRPr="00D67B64">
        <w:rPr>
          <w:rFonts w:ascii="Arial" w:hAnsi="Arial" w:cs="Arial"/>
        </w:rPr>
        <w:t>di 6.903.549,7</w:t>
      </w:r>
      <w:r>
        <w:rPr>
          <w:rFonts w:ascii="Arial" w:hAnsi="Arial" w:cs="Arial"/>
        </w:rPr>
        <w:t>7 euro;</w:t>
      </w:r>
    </w:p>
    <w:p w:rsidR="00D57BF5" w:rsidRDefault="00D57BF5" w:rsidP="007E0A4B">
      <w:pPr>
        <w:numPr>
          <w:ilvl w:val="0"/>
          <w:numId w:val="5"/>
        </w:numPr>
        <w:tabs>
          <w:tab w:val="num" w:pos="426"/>
        </w:tabs>
        <w:autoSpaceDE w:val="0"/>
        <w:autoSpaceDN w:val="0"/>
        <w:adjustRightInd w:val="0"/>
        <w:spacing w:before="120" w:after="120" w:line="240" w:lineRule="auto"/>
        <w:ind w:left="425" w:hanging="425"/>
        <w:jc w:val="both"/>
        <w:rPr>
          <w:rFonts w:ascii="Arial" w:hAnsi="Arial" w:cs="Arial"/>
        </w:rPr>
      </w:pPr>
      <w:r>
        <w:rPr>
          <w:rFonts w:ascii="Arial" w:hAnsi="Arial" w:cs="Arial"/>
        </w:rPr>
        <w:t xml:space="preserve">l’utilizzo integrale della suddetta quota statale delle economie di gara, cioè la sostanziale conferma del finanziamento di </w:t>
      </w:r>
      <w:r w:rsidRPr="00627C04">
        <w:rPr>
          <w:rFonts w:ascii="Arial" w:hAnsi="Arial" w:cs="Arial"/>
        </w:rPr>
        <w:t>71.022.913,26</w:t>
      </w:r>
      <w:r>
        <w:rPr>
          <w:rFonts w:ascii="Arial" w:hAnsi="Arial" w:cs="Arial"/>
        </w:rPr>
        <w:t xml:space="preserve"> euro inizialmente concesso, consente di elevare il finanziamento statale dell’opera fino al </w:t>
      </w:r>
      <w:r w:rsidRPr="00B63E79">
        <w:rPr>
          <w:rFonts w:ascii="Arial" w:hAnsi="Arial" w:cs="Arial"/>
        </w:rPr>
        <w:t>59,85%</w:t>
      </w:r>
      <w:r>
        <w:rPr>
          <w:rFonts w:ascii="Arial" w:hAnsi="Arial" w:cs="Arial"/>
        </w:rPr>
        <w:t xml:space="preserve"> del costo dell’intervento aggiornato al 2018 (</w:t>
      </w:r>
      <w:r w:rsidRPr="00B52130">
        <w:rPr>
          <w:rFonts w:ascii="Arial" w:hAnsi="Arial" w:cs="Arial"/>
          <w:bCs/>
        </w:rPr>
        <w:t>118.661.596,98</w:t>
      </w:r>
      <w:r w:rsidR="00B63E79">
        <w:rPr>
          <w:rFonts w:ascii="Arial" w:hAnsi="Arial" w:cs="Arial"/>
          <w:bCs/>
        </w:rPr>
        <w:t xml:space="preserve"> euro</w:t>
      </w:r>
      <w:r>
        <w:rPr>
          <w:rFonts w:ascii="Arial" w:hAnsi="Arial" w:cs="Arial"/>
        </w:rPr>
        <w:t>);</w:t>
      </w:r>
    </w:p>
    <w:p w:rsidR="00D57BF5" w:rsidRDefault="00D57BF5" w:rsidP="007E0A4B">
      <w:pPr>
        <w:numPr>
          <w:ilvl w:val="0"/>
          <w:numId w:val="5"/>
        </w:numPr>
        <w:tabs>
          <w:tab w:val="num" w:pos="426"/>
        </w:tabs>
        <w:autoSpaceDE w:val="0"/>
        <w:autoSpaceDN w:val="0"/>
        <w:adjustRightInd w:val="0"/>
        <w:spacing w:before="120" w:after="120" w:line="240" w:lineRule="auto"/>
        <w:ind w:left="425" w:hanging="425"/>
        <w:jc w:val="both"/>
        <w:rPr>
          <w:rFonts w:ascii="Arial" w:hAnsi="Arial" w:cs="Arial"/>
        </w:rPr>
      </w:pPr>
      <w:r w:rsidRPr="008068D0">
        <w:rPr>
          <w:rFonts w:ascii="Arial" w:hAnsi="Arial" w:cs="Arial"/>
        </w:rPr>
        <w:t xml:space="preserve">tale maggior finanziamento statale consentirebbe la riduzione dei cofinanziamenti </w:t>
      </w:r>
      <w:r>
        <w:rPr>
          <w:rFonts w:ascii="Arial" w:hAnsi="Arial" w:cs="Arial"/>
        </w:rPr>
        <w:t>relativi al</w:t>
      </w:r>
      <w:r w:rsidRPr="008068D0">
        <w:rPr>
          <w:rFonts w:ascii="Arial" w:hAnsi="Arial" w:cs="Arial"/>
        </w:rPr>
        <w:t>la quota d’intervento finanziata a carico della legge n. 211 del 1992;</w:t>
      </w:r>
    </w:p>
    <w:p w:rsidR="00D57BF5" w:rsidRPr="00A24BEF" w:rsidRDefault="00D57BF5" w:rsidP="00A24BEF">
      <w:pPr>
        <w:pStyle w:val="Paragrafoelenco"/>
        <w:numPr>
          <w:ilvl w:val="0"/>
          <w:numId w:val="5"/>
        </w:numPr>
        <w:autoSpaceDE w:val="0"/>
        <w:autoSpaceDN w:val="0"/>
        <w:adjustRightInd w:val="0"/>
        <w:spacing w:before="120" w:after="120" w:line="240" w:lineRule="auto"/>
        <w:ind w:left="426" w:hanging="426"/>
        <w:jc w:val="both"/>
        <w:rPr>
          <w:rFonts w:ascii="Arial" w:hAnsi="Arial" w:cs="Arial"/>
        </w:rPr>
      </w:pPr>
      <w:r w:rsidRPr="00A24BEF">
        <w:rPr>
          <w:rFonts w:ascii="Arial" w:hAnsi="Arial" w:cs="Arial"/>
        </w:rPr>
        <w:t>Roma Metropolitane ha confermato, entro il corrente anno e previo esperimento dei collaudi di legge, l’ultimazione dei lavori e l’esecuzione delle attività preordinate alla messa in esercizio del corridoio EUR Laurentina-Tor Pagnotta;</w:t>
      </w:r>
    </w:p>
    <w:p w:rsidR="00D57BF5" w:rsidRPr="003F27DA" w:rsidRDefault="00D57BF5" w:rsidP="00A24BEF">
      <w:pPr>
        <w:numPr>
          <w:ilvl w:val="0"/>
          <w:numId w:val="5"/>
        </w:numPr>
        <w:autoSpaceDE w:val="0"/>
        <w:autoSpaceDN w:val="0"/>
        <w:adjustRightInd w:val="0"/>
        <w:spacing w:before="120" w:after="120" w:line="240" w:lineRule="auto"/>
        <w:ind w:left="426" w:hanging="426"/>
        <w:jc w:val="both"/>
        <w:rPr>
          <w:rFonts w:ascii="Arial" w:hAnsi="Arial" w:cs="Arial"/>
        </w:rPr>
      </w:pPr>
      <w:r>
        <w:rPr>
          <w:rFonts w:ascii="Arial" w:hAnsi="Arial" w:cs="Arial"/>
          <w:bCs/>
        </w:rPr>
        <w:t>l’</w:t>
      </w:r>
      <w:r w:rsidRPr="003F27DA">
        <w:rPr>
          <w:rFonts w:ascii="Arial" w:hAnsi="Arial" w:cs="Arial"/>
          <w:bCs/>
        </w:rPr>
        <w:t>immissione in esercizio del corridoio filoviario</w:t>
      </w:r>
      <w:r>
        <w:rPr>
          <w:rFonts w:ascii="Arial" w:hAnsi="Arial" w:cs="Arial"/>
          <w:bCs/>
        </w:rPr>
        <w:t xml:space="preserve"> EUR</w:t>
      </w:r>
      <w:r w:rsidRPr="003F27DA">
        <w:rPr>
          <w:rFonts w:ascii="Cambria Math" w:hAnsi="Cambria Math" w:cs="Cambria Math"/>
          <w:bCs/>
        </w:rPr>
        <w:t>‐</w:t>
      </w:r>
      <w:r>
        <w:rPr>
          <w:rFonts w:ascii="Arial" w:hAnsi="Arial" w:cs="Arial"/>
          <w:bCs/>
        </w:rPr>
        <w:t>T</w:t>
      </w:r>
      <w:r w:rsidRPr="003F27DA">
        <w:rPr>
          <w:rFonts w:ascii="Arial" w:hAnsi="Arial" w:cs="Arial"/>
          <w:bCs/>
        </w:rPr>
        <w:t>or de</w:t>
      </w:r>
      <w:r>
        <w:rPr>
          <w:rFonts w:ascii="Arial" w:hAnsi="Arial" w:cs="Arial"/>
          <w:bCs/>
        </w:rPr>
        <w:t>’</w:t>
      </w:r>
      <w:r w:rsidRPr="003F27DA">
        <w:rPr>
          <w:rFonts w:ascii="Arial" w:hAnsi="Arial" w:cs="Arial"/>
          <w:bCs/>
        </w:rPr>
        <w:t xml:space="preserve"> </w:t>
      </w:r>
      <w:r>
        <w:rPr>
          <w:rFonts w:ascii="Arial" w:hAnsi="Arial" w:cs="Arial"/>
          <w:bCs/>
        </w:rPr>
        <w:t>C</w:t>
      </w:r>
      <w:r w:rsidRPr="003F27DA">
        <w:rPr>
          <w:rFonts w:ascii="Arial" w:hAnsi="Arial" w:cs="Arial"/>
          <w:bCs/>
        </w:rPr>
        <w:t>enci</w:t>
      </w:r>
      <w:r>
        <w:rPr>
          <w:rFonts w:ascii="Arial" w:hAnsi="Arial" w:cs="Arial"/>
          <w:bCs/>
        </w:rPr>
        <w:t xml:space="preserve"> è prevista a fine gennaio 2021;</w:t>
      </w:r>
    </w:p>
    <w:p w:rsidR="00D57BF5" w:rsidRDefault="00D57BF5" w:rsidP="00A24BEF">
      <w:pPr>
        <w:numPr>
          <w:ilvl w:val="0"/>
          <w:numId w:val="5"/>
        </w:numPr>
        <w:autoSpaceDE w:val="0"/>
        <w:autoSpaceDN w:val="0"/>
        <w:adjustRightInd w:val="0"/>
        <w:spacing w:before="120" w:after="120" w:line="240" w:lineRule="auto"/>
        <w:ind w:left="426" w:hanging="426"/>
        <w:jc w:val="both"/>
        <w:rPr>
          <w:rFonts w:ascii="Arial" w:hAnsi="Arial" w:cs="Arial"/>
        </w:rPr>
      </w:pPr>
      <w:r>
        <w:rPr>
          <w:rFonts w:ascii="Arial" w:hAnsi="Arial" w:cs="Arial"/>
        </w:rPr>
        <w:t xml:space="preserve">per l’intervento in esame il MIT ha ritenuto di formulare le seguenti </w:t>
      </w:r>
      <w:r w:rsidRPr="007E765E">
        <w:rPr>
          <w:rFonts w:ascii="Arial" w:hAnsi="Arial" w:cs="Arial"/>
        </w:rPr>
        <w:t>osservazioni</w:t>
      </w:r>
      <w:r>
        <w:rPr>
          <w:rFonts w:ascii="Arial" w:hAnsi="Arial" w:cs="Arial"/>
        </w:rPr>
        <w:t xml:space="preserve">: </w:t>
      </w:r>
    </w:p>
    <w:p w:rsidR="00D57BF5" w:rsidRPr="004E1391" w:rsidRDefault="00D57BF5" w:rsidP="00A24BEF">
      <w:pPr>
        <w:numPr>
          <w:ilvl w:val="1"/>
          <w:numId w:val="5"/>
        </w:numPr>
        <w:tabs>
          <w:tab w:val="left" w:pos="993"/>
        </w:tabs>
        <w:autoSpaceDE w:val="0"/>
        <w:autoSpaceDN w:val="0"/>
        <w:adjustRightInd w:val="0"/>
        <w:spacing w:before="120" w:after="120" w:line="240" w:lineRule="auto"/>
        <w:ind w:left="993" w:hanging="567"/>
        <w:jc w:val="both"/>
        <w:rPr>
          <w:rFonts w:ascii="Arial" w:hAnsi="Arial" w:cs="Arial"/>
        </w:rPr>
      </w:pPr>
      <w:r w:rsidRPr="004E1391">
        <w:rPr>
          <w:rFonts w:ascii="Arial" w:hAnsi="Arial" w:cs="Arial"/>
        </w:rPr>
        <w:t xml:space="preserve">a fronte dei servizi filoviari del corridoio EUR-Tor de’ Cenci (per la tratta </w:t>
      </w:r>
      <w:proofErr w:type="spellStart"/>
      <w:r w:rsidRPr="004E1391">
        <w:rPr>
          <w:rFonts w:ascii="Arial" w:hAnsi="Arial" w:cs="Arial"/>
        </w:rPr>
        <w:t>Spinaceto</w:t>
      </w:r>
      <w:proofErr w:type="spellEnd"/>
      <w:r w:rsidRPr="004E1391">
        <w:rPr>
          <w:rFonts w:ascii="Arial" w:hAnsi="Arial" w:cs="Arial"/>
        </w:rPr>
        <w:t xml:space="preserve">-EUR Fermi il servizio S1, per la tratta </w:t>
      </w:r>
      <w:proofErr w:type="spellStart"/>
      <w:r w:rsidRPr="004E1391">
        <w:rPr>
          <w:rFonts w:ascii="Arial" w:hAnsi="Arial" w:cs="Arial"/>
        </w:rPr>
        <w:t>Mezzocammino</w:t>
      </w:r>
      <w:proofErr w:type="spellEnd"/>
      <w:r w:rsidRPr="004E1391">
        <w:rPr>
          <w:rFonts w:ascii="Arial" w:hAnsi="Arial" w:cs="Arial"/>
        </w:rPr>
        <w:t>-EUR Fermi  il servizio S2 e per la tratta Tor di Valle-EUR Fermi il servizio S3)</w:t>
      </w:r>
      <w:r>
        <w:rPr>
          <w:rFonts w:ascii="Arial" w:hAnsi="Arial" w:cs="Arial"/>
        </w:rPr>
        <w:t>,</w:t>
      </w:r>
      <w:r w:rsidRPr="004E1391">
        <w:rPr>
          <w:rFonts w:ascii="Arial" w:hAnsi="Arial" w:cs="Arial"/>
        </w:rPr>
        <w:t xml:space="preserve"> il servizio S3 Tor di Valle-EUR Fermi, che utilizza l'impianto filoviario solo per l'8% dell'intero percorso, dovrà essere espletato solo con autobus e i filobus destinati a tale servizio dovranno essere dedicati ai servizi S1 e S2 in modo da riportare il </w:t>
      </w:r>
      <w:proofErr w:type="spellStart"/>
      <w:r w:rsidRPr="004E1391">
        <w:rPr>
          <w:rFonts w:ascii="Arial" w:hAnsi="Arial" w:cs="Arial"/>
        </w:rPr>
        <w:t>cadenzamento</w:t>
      </w:r>
      <w:proofErr w:type="spellEnd"/>
      <w:r w:rsidRPr="004E1391">
        <w:rPr>
          <w:rFonts w:ascii="Arial" w:hAnsi="Arial" w:cs="Arial"/>
        </w:rPr>
        <w:t xml:space="preserve"> tra i veicoli (</w:t>
      </w:r>
      <w:r>
        <w:rPr>
          <w:rFonts w:ascii="Arial" w:hAnsi="Arial" w:cs="Arial"/>
        </w:rPr>
        <w:t>attualmente</w:t>
      </w:r>
      <w:r w:rsidRPr="004E1391">
        <w:rPr>
          <w:rFonts w:ascii="Arial" w:hAnsi="Arial" w:cs="Arial"/>
        </w:rPr>
        <w:t xml:space="preserve"> previsto </w:t>
      </w:r>
      <w:r>
        <w:rPr>
          <w:rFonts w:ascii="Arial" w:hAnsi="Arial" w:cs="Arial"/>
        </w:rPr>
        <w:t>in</w:t>
      </w:r>
      <w:r w:rsidRPr="004E1391">
        <w:rPr>
          <w:rFonts w:ascii="Arial" w:hAnsi="Arial" w:cs="Arial"/>
        </w:rPr>
        <w:t xml:space="preserve"> 9 minuti) a valori compatibili con quelli di una linea di forza;</w:t>
      </w:r>
    </w:p>
    <w:p w:rsidR="00D57BF5" w:rsidRDefault="00D57BF5" w:rsidP="00A24BEF">
      <w:pPr>
        <w:numPr>
          <w:ilvl w:val="1"/>
          <w:numId w:val="5"/>
        </w:numPr>
        <w:tabs>
          <w:tab w:val="left" w:pos="993"/>
        </w:tabs>
        <w:autoSpaceDE w:val="0"/>
        <w:autoSpaceDN w:val="0"/>
        <w:adjustRightInd w:val="0"/>
        <w:spacing w:before="120" w:after="120" w:line="240" w:lineRule="auto"/>
        <w:ind w:left="993" w:hanging="567"/>
        <w:rPr>
          <w:rFonts w:ascii="Arial" w:hAnsi="Arial" w:cs="Arial"/>
        </w:rPr>
      </w:pPr>
      <w:r>
        <w:rPr>
          <w:rFonts w:ascii="Arial" w:hAnsi="Arial" w:cs="Arial"/>
        </w:rPr>
        <w:lastRenderedPageBreak/>
        <w:t>d</w:t>
      </w:r>
      <w:r w:rsidRPr="00CC0BD3">
        <w:rPr>
          <w:rFonts w:ascii="Arial" w:hAnsi="Arial" w:cs="Arial"/>
        </w:rPr>
        <w:t xml:space="preserve">ovrà essere redatto un cronoprogramma per l'attuazione del corridoio </w:t>
      </w:r>
      <w:r w:rsidRPr="004E1391">
        <w:rPr>
          <w:rFonts w:ascii="Arial" w:hAnsi="Arial" w:cs="Arial"/>
        </w:rPr>
        <w:t>EUR-Tor de’ Cenci</w:t>
      </w:r>
      <w:r>
        <w:rPr>
          <w:rFonts w:ascii="Arial" w:hAnsi="Arial" w:cs="Arial"/>
        </w:rPr>
        <w:t>,</w:t>
      </w:r>
      <w:r w:rsidRPr="004E1391">
        <w:rPr>
          <w:rFonts w:ascii="Arial" w:hAnsi="Arial" w:cs="Arial"/>
        </w:rPr>
        <w:t xml:space="preserve"> </w:t>
      </w:r>
      <w:r w:rsidRPr="00CC0BD3">
        <w:rPr>
          <w:rFonts w:ascii="Arial" w:hAnsi="Arial" w:cs="Arial"/>
        </w:rPr>
        <w:t xml:space="preserve">il cui rispetto sarà considerato vincolante per </w:t>
      </w:r>
      <w:r>
        <w:rPr>
          <w:rFonts w:ascii="Arial" w:hAnsi="Arial" w:cs="Arial"/>
        </w:rPr>
        <w:t xml:space="preserve">l'erogazione </w:t>
      </w:r>
      <w:r w:rsidRPr="00CC0BD3">
        <w:rPr>
          <w:rFonts w:ascii="Arial" w:hAnsi="Arial" w:cs="Arial"/>
        </w:rPr>
        <w:t xml:space="preserve">dei </w:t>
      </w:r>
      <w:r w:rsidRPr="00B1300F">
        <w:rPr>
          <w:rFonts w:ascii="Arial" w:hAnsi="Arial" w:cs="Arial"/>
        </w:rPr>
        <w:t>contributi</w:t>
      </w:r>
      <w:r>
        <w:rPr>
          <w:rFonts w:ascii="Arial" w:hAnsi="Arial" w:cs="Arial"/>
        </w:rPr>
        <w:t>;</w:t>
      </w:r>
    </w:p>
    <w:p w:rsidR="00D57BF5" w:rsidRPr="00FF5263" w:rsidRDefault="00D57BF5" w:rsidP="0034635A">
      <w:pPr>
        <w:spacing w:before="120" w:after="120" w:line="240" w:lineRule="auto"/>
        <w:jc w:val="both"/>
        <w:rPr>
          <w:rFonts w:ascii="Arial" w:hAnsi="Arial" w:cs="Arial"/>
        </w:rPr>
      </w:pPr>
      <w:r w:rsidRPr="00FF5263">
        <w:rPr>
          <w:rFonts w:ascii="Arial" w:hAnsi="Arial" w:cs="Arial"/>
          <w:b/>
        </w:rPr>
        <w:t xml:space="preserve">RITENUTO </w:t>
      </w:r>
      <w:r>
        <w:rPr>
          <w:rFonts w:ascii="Arial" w:hAnsi="Arial" w:cs="Arial"/>
        </w:rPr>
        <w:t>opportuno</w:t>
      </w:r>
      <w:r w:rsidRPr="007F3D63">
        <w:rPr>
          <w:rFonts w:ascii="Arial" w:hAnsi="Arial" w:cs="Arial"/>
        </w:rPr>
        <w:t xml:space="preserve"> autorizzare l’integrale utilizzo delle economie di gara, confermando sostanzialmente il finanziamento dell’intervento in </w:t>
      </w:r>
      <w:r w:rsidRPr="00345209">
        <w:rPr>
          <w:rFonts w:ascii="Arial" w:hAnsi="Arial" w:cs="Arial"/>
          <w:bCs/>
        </w:rPr>
        <w:t>71.022.913,26 euro</w:t>
      </w:r>
      <w:r w:rsidRPr="00345209">
        <w:rPr>
          <w:rFonts w:ascii="Arial" w:hAnsi="Arial" w:cs="Arial"/>
        </w:rPr>
        <w:t xml:space="preserve">, </w:t>
      </w:r>
      <w:r w:rsidRPr="00FF5263">
        <w:rPr>
          <w:rFonts w:ascii="Arial" w:hAnsi="Arial" w:cs="Arial"/>
        </w:rPr>
        <w:t xml:space="preserve">in relazione ai benefici che l’intervento stesso può arrecare e alle specifiche finalità della legge n. 211 del 1992 che </w:t>
      </w:r>
      <w:r w:rsidRPr="007F3D63">
        <w:rPr>
          <w:rFonts w:ascii="Arial" w:hAnsi="Arial" w:cs="Arial"/>
        </w:rPr>
        <w:t>prevede risorse per i sistemi di trasporto ad impianti fissi</w:t>
      </w:r>
      <w:r>
        <w:rPr>
          <w:rFonts w:ascii="Arial" w:hAnsi="Arial" w:cs="Arial"/>
        </w:rPr>
        <w:t>;</w:t>
      </w:r>
    </w:p>
    <w:p w:rsidR="00D57BF5" w:rsidRPr="0034635A" w:rsidRDefault="00D57BF5" w:rsidP="0034635A">
      <w:pPr>
        <w:autoSpaceDE w:val="0"/>
        <w:autoSpaceDN w:val="0"/>
        <w:adjustRightInd w:val="0"/>
        <w:spacing w:before="120" w:line="240" w:lineRule="auto"/>
        <w:jc w:val="both"/>
        <w:rPr>
          <w:rFonts w:ascii="Arial" w:hAnsi="Arial" w:cs="Arial"/>
        </w:rPr>
      </w:pPr>
      <w:r w:rsidRPr="00FF5263">
        <w:rPr>
          <w:rFonts w:ascii="Arial" w:hAnsi="Arial" w:cs="Arial"/>
          <w:b/>
        </w:rPr>
        <w:t>RITENUTO</w:t>
      </w:r>
      <w:r w:rsidRPr="007F3D63">
        <w:rPr>
          <w:rFonts w:ascii="Arial" w:hAnsi="Arial" w:cs="Arial"/>
        </w:rPr>
        <w:t xml:space="preserve"> che il finanziamento </w:t>
      </w:r>
      <w:r>
        <w:rPr>
          <w:rFonts w:ascii="Arial" w:hAnsi="Arial" w:cs="Arial"/>
        </w:rPr>
        <w:t>aggiornato dell’intervento, per garantire la copertura del costo dell’opera finanziabile con i fondi di cui alla legge n. 211 del 1992, debba essere articolato, sulla base dell’istruttoria esaminata, come segue:</w:t>
      </w:r>
    </w:p>
    <w:tbl>
      <w:tblPr>
        <w:tblW w:w="8145" w:type="dxa"/>
        <w:jc w:val="center"/>
        <w:tblInd w:w="-2402" w:type="dxa"/>
        <w:tblCellMar>
          <w:left w:w="0" w:type="dxa"/>
          <w:right w:w="0" w:type="dxa"/>
        </w:tblCellMar>
        <w:tblLook w:val="04A0" w:firstRow="1" w:lastRow="0" w:firstColumn="1" w:lastColumn="0" w:noHBand="0" w:noVBand="1"/>
      </w:tblPr>
      <w:tblGrid>
        <w:gridCol w:w="5708"/>
        <w:gridCol w:w="2437"/>
      </w:tblGrid>
      <w:tr w:rsidR="00D57BF5" w:rsidRPr="00C327FE" w:rsidTr="0034635A">
        <w:trPr>
          <w:trHeight w:val="375"/>
          <w:jc w:val="center"/>
        </w:trPr>
        <w:tc>
          <w:tcPr>
            <w:tcW w:w="570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57BF5" w:rsidRPr="00C327FE" w:rsidRDefault="00D57BF5" w:rsidP="0034635A">
            <w:pPr>
              <w:autoSpaceDE w:val="0"/>
              <w:autoSpaceDN w:val="0"/>
              <w:adjustRightInd w:val="0"/>
              <w:spacing w:after="0" w:line="240" w:lineRule="auto"/>
              <w:ind w:left="51"/>
              <w:jc w:val="both"/>
              <w:rPr>
                <w:rFonts w:ascii="Arial" w:hAnsi="Arial" w:cs="Arial"/>
                <w:bCs/>
              </w:rPr>
            </w:pPr>
            <w:r>
              <w:rPr>
                <w:rFonts w:ascii="Arial" w:hAnsi="Arial" w:cs="Arial"/>
                <w:bCs/>
              </w:rPr>
              <w:t>C</w:t>
            </w:r>
            <w:r w:rsidRPr="00C327FE">
              <w:rPr>
                <w:rFonts w:ascii="Arial" w:hAnsi="Arial" w:cs="Arial"/>
                <w:bCs/>
              </w:rPr>
              <w:t>osto opera</w:t>
            </w:r>
            <w:r>
              <w:rPr>
                <w:rFonts w:ascii="Arial" w:hAnsi="Arial" w:cs="Arial"/>
                <w:bCs/>
              </w:rPr>
              <w:t xml:space="preserve"> da finanziare</w:t>
            </w:r>
            <w:r w:rsidR="0034635A">
              <w:rPr>
                <w:rFonts w:ascii="Arial" w:hAnsi="Arial" w:cs="Arial"/>
                <w:bCs/>
              </w:rPr>
              <w:t xml:space="preserve"> (in euro)</w:t>
            </w:r>
          </w:p>
        </w:tc>
        <w:tc>
          <w:tcPr>
            <w:tcW w:w="243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57BF5" w:rsidRPr="00C327FE" w:rsidRDefault="00D57BF5" w:rsidP="0034635A">
            <w:pPr>
              <w:autoSpaceDE w:val="0"/>
              <w:autoSpaceDN w:val="0"/>
              <w:adjustRightInd w:val="0"/>
              <w:spacing w:after="0" w:line="240" w:lineRule="auto"/>
              <w:ind w:left="284" w:right="39"/>
              <w:jc w:val="right"/>
              <w:rPr>
                <w:rFonts w:ascii="Arial" w:hAnsi="Arial" w:cs="Arial"/>
                <w:bCs/>
              </w:rPr>
            </w:pPr>
            <w:r w:rsidRPr="00C327FE">
              <w:rPr>
                <w:rFonts w:ascii="Arial" w:hAnsi="Arial" w:cs="Arial"/>
                <w:bCs/>
              </w:rPr>
              <w:t>118.661.596,98</w:t>
            </w:r>
          </w:p>
        </w:tc>
      </w:tr>
      <w:tr w:rsidR="00D57BF5" w:rsidRPr="00C327FE" w:rsidTr="0034635A">
        <w:trPr>
          <w:trHeight w:val="315"/>
          <w:jc w:val="center"/>
        </w:trPr>
        <w:tc>
          <w:tcPr>
            <w:tcW w:w="5708" w:type="dxa"/>
            <w:tcBorders>
              <w:top w:val="dotted" w:sz="4" w:space="0" w:color="auto"/>
              <w:left w:val="single" w:sz="8" w:space="0" w:color="auto"/>
              <w:bottom w:val="dotted" w:sz="4" w:space="0" w:color="auto"/>
              <w:right w:val="single" w:sz="8" w:space="0" w:color="auto"/>
            </w:tcBorders>
            <w:noWrap/>
            <w:tcMar>
              <w:top w:w="0" w:type="dxa"/>
              <w:left w:w="70" w:type="dxa"/>
              <w:bottom w:w="0" w:type="dxa"/>
              <w:right w:w="70" w:type="dxa"/>
            </w:tcMar>
            <w:vAlign w:val="center"/>
            <w:hideMark/>
          </w:tcPr>
          <w:p w:rsidR="00D57BF5" w:rsidRPr="00C44A01" w:rsidRDefault="00D57BF5" w:rsidP="0034635A">
            <w:pPr>
              <w:numPr>
                <w:ilvl w:val="0"/>
                <w:numId w:val="8"/>
              </w:numPr>
              <w:autoSpaceDE w:val="0"/>
              <w:autoSpaceDN w:val="0"/>
              <w:adjustRightInd w:val="0"/>
              <w:spacing w:after="0" w:line="240" w:lineRule="auto"/>
              <w:ind w:left="477" w:hanging="283"/>
              <w:jc w:val="both"/>
              <w:rPr>
                <w:rFonts w:ascii="Arial" w:hAnsi="Arial" w:cs="Arial"/>
                <w:bCs/>
              </w:rPr>
            </w:pPr>
            <w:r w:rsidRPr="00C44A01">
              <w:rPr>
                <w:rFonts w:ascii="Arial" w:hAnsi="Arial" w:cs="Arial"/>
                <w:bCs/>
              </w:rPr>
              <w:t xml:space="preserve">quota </w:t>
            </w:r>
            <w:r>
              <w:rPr>
                <w:rFonts w:ascii="Arial" w:hAnsi="Arial" w:cs="Arial"/>
                <w:bCs/>
              </w:rPr>
              <w:t>S</w:t>
            </w:r>
            <w:r w:rsidRPr="00C44A01">
              <w:rPr>
                <w:rFonts w:ascii="Arial" w:hAnsi="Arial" w:cs="Arial"/>
                <w:bCs/>
              </w:rPr>
              <w:t>tato</w:t>
            </w:r>
          </w:p>
        </w:tc>
        <w:tc>
          <w:tcPr>
            <w:tcW w:w="2437" w:type="dxa"/>
            <w:tcBorders>
              <w:top w:val="dotted" w:sz="4" w:space="0" w:color="auto"/>
              <w:left w:val="single" w:sz="8" w:space="0" w:color="auto"/>
              <w:bottom w:val="dotted" w:sz="4" w:space="0" w:color="auto"/>
              <w:right w:val="single" w:sz="8" w:space="0" w:color="auto"/>
            </w:tcBorders>
            <w:noWrap/>
            <w:tcMar>
              <w:top w:w="0" w:type="dxa"/>
              <w:left w:w="70" w:type="dxa"/>
              <w:bottom w:w="0" w:type="dxa"/>
              <w:right w:w="70" w:type="dxa"/>
            </w:tcMar>
            <w:vAlign w:val="center"/>
            <w:hideMark/>
          </w:tcPr>
          <w:p w:rsidR="00D57BF5" w:rsidRPr="00C44A01" w:rsidRDefault="00D57BF5" w:rsidP="0034635A">
            <w:pPr>
              <w:autoSpaceDE w:val="0"/>
              <w:autoSpaceDN w:val="0"/>
              <w:adjustRightInd w:val="0"/>
              <w:spacing w:after="0" w:line="240" w:lineRule="auto"/>
              <w:ind w:left="284" w:right="151"/>
              <w:jc w:val="right"/>
              <w:rPr>
                <w:rFonts w:ascii="Arial" w:hAnsi="Arial" w:cs="Arial"/>
                <w:bCs/>
              </w:rPr>
            </w:pPr>
            <w:r w:rsidRPr="00C44A01">
              <w:rPr>
                <w:rFonts w:ascii="Arial" w:hAnsi="Arial" w:cs="Arial"/>
                <w:bCs/>
              </w:rPr>
              <w:t>71.022.913,2</w:t>
            </w:r>
            <w:r>
              <w:rPr>
                <w:rFonts w:ascii="Arial" w:hAnsi="Arial" w:cs="Arial"/>
                <w:bCs/>
              </w:rPr>
              <w:t>6</w:t>
            </w:r>
          </w:p>
        </w:tc>
      </w:tr>
      <w:tr w:rsidR="00D57BF5" w:rsidRPr="00C327FE" w:rsidTr="0034635A">
        <w:trPr>
          <w:trHeight w:val="315"/>
          <w:jc w:val="center"/>
        </w:trPr>
        <w:tc>
          <w:tcPr>
            <w:tcW w:w="5708" w:type="dxa"/>
            <w:tcBorders>
              <w:top w:val="dotted" w:sz="4" w:space="0" w:color="auto"/>
              <w:left w:val="single" w:sz="8" w:space="0" w:color="auto"/>
              <w:bottom w:val="dotted" w:sz="4" w:space="0" w:color="auto"/>
              <w:right w:val="single" w:sz="8" w:space="0" w:color="auto"/>
            </w:tcBorders>
            <w:noWrap/>
            <w:tcMar>
              <w:top w:w="0" w:type="dxa"/>
              <w:left w:w="70" w:type="dxa"/>
              <w:bottom w:w="0" w:type="dxa"/>
              <w:right w:w="70" w:type="dxa"/>
            </w:tcMar>
            <w:vAlign w:val="center"/>
            <w:hideMark/>
          </w:tcPr>
          <w:p w:rsidR="00D57BF5" w:rsidRPr="00C44A01" w:rsidRDefault="00D57BF5" w:rsidP="0034635A">
            <w:pPr>
              <w:numPr>
                <w:ilvl w:val="0"/>
                <w:numId w:val="8"/>
              </w:numPr>
              <w:autoSpaceDE w:val="0"/>
              <w:autoSpaceDN w:val="0"/>
              <w:adjustRightInd w:val="0"/>
              <w:spacing w:after="0" w:line="240" w:lineRule="auto"/>
              <w:ind w:left="477" w:hanging="283"/>
              <w:jc w:val="both"/>
              <w:rPr>
                <w:rFonts w:ascii="Arial" w:hAnsi="Arial" w:cs="Arial"/>
                <w:bCs/>
              </w:rPr>
            </w:pPr>
            <w:r w:rsidRPr="00C44A01">
              <w:rPr>
                <w:rFonts w:ascii="Arial" w:hAnsi="Arial" w:cs="Arial"/>
                <w:bCs/>
              </w:rPr>
              <w:t xml:space="preserve">quota </w:t>
            </w:r>
            <w:r>
              <w:rPr>
                <w:rFonts w:ascii="Arial" w:hAnsi="Arial" w:cs="Arial"/>
                <w:bCs/>
              </w:rPr>
              <w:t>R</w:t>
            </w:r>
            <w:r w:rsidRPr="00C44A01">
              <w:rPr>
                <w:rFonts w:ascii="Arial" w:hAnsi="Arial" w:cs="Arial"/>
                <w:bCs/>
              </w:rPr>
              <w:t>egione</w:t>
            </w:r>
          </w:p>
        </w:tc>
        <w:tc>
          <w:tcPr>
            <w:tcW w:w="2437" w:type="dxa"/>
            <w:tcBorders>
              <w:top w:val="dotted" w:sz="4" w:space="0" w:color="auto"/>
              <w:left w:val="nil"/>
              <w:bottom w:val="dotted" w:sz="4" w:space="0" w:color="auto"/>
              <w:right w:val="single" w:sz="8" w:space="0" w:color="auto"/>
            </w:tcBorders>
            <w:noWrap/>
            <w:tcMar>
              <w:top w:w="0" w:type="dxa"/>
              <w:left w:w="70" w:type="dxa"/>
              <w:bottom w:w="0" w:type="dxa"/>
              <w:right w:w="70" w:type="dxa"/>
            </w:tcMar>
            <w:vAlign w:val="center"/>
            <w:hideMark/>
          </w:tcPr>
          <w:p w:rsidR="00D57BF5" w:rsidRPr="00C44A01" w:rsidRDefault="00D57BF5" w:rsidP="0034635A">
            <w:pPr>
              <w:autoSpaceDE w:val="0"/>
              <w:autoSpaceDN w:val="0"/>
              <w:adjustRightInd w:val="0"/>
              <w:spacing w:after="0" w:line="240" w:lineRule="auto"/>
              <w:ind w:left="284" w:right="151"/>
              <w:jc w:val="right"/>
              <w:rPr>
                <w:rFonts w:ascii="Arial" w:hAnsi="Arial" w:cs="Arial"/>
                <w:bCs/>
              </w:rPr>
            </w:pPr>
            <w:r w:rsidRPr="00C44A01">
              <w:rPr>
                <w:rFonts w:ascii="Arial" w:hAnsi="Arial" w:cs="Arial"/>
                <w:bCs/>
              </w:rPr>
              <w:t>9.000.000,00</w:t>
            </w:r>
          </w:p>
        </w:tc>
      </w:tr>
      <w:tr w:rsidR="00D57BF5" w:rsidRPr="00C327FE" w:rsidTr="0034635A">
        <w:trPr>
          <w:trHeight w:val="315"/>
          <w:jc w:val="center"/>
        </w:trPr>
        <w:tc>
          <w:tcPr>
            <w:tcW w:w="5708" w:type="dxa"/>
            <w:tcBorders>
              <w:top w:val="dotted"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57BF5" w:rsidRPr="00C44A01" w:rsidRDefault="00D57BF5" w:rsidP="0034635A">
            <w:pPr>
              <w:numPr>
                <w:ilvl w:val="0"/>
                <w:numId w:val="8"/>
              </w:numPr>
              <w:autoSpaceDE w:val="0"/>
              <w:autoSpaceDN w:val="0"/>
              <w:adjustRightInd w:val="0"/>
              <w:spacing w:after="0" w:line="240" w:lineRule="auto"/>
              <w:ind w:left="477" w:hanging="283"/>
              <w:jc w:val="both"/>
              <w:rPr>
                <w:rFonts w:ascii="Arial" w:hAnsi="Arial" w:cs="Arial"/>
                <w:bCs/>
              </w:rPr>
            </w:pPr>
            <w:r w:rsidRPr="00C44A01">
              <w:rPr>
                <w:rFonts w:ascii="Arial" w:hAnsi="Arial" w:cs="Arial"/>
                <w:bCs/>
              </w:rPr>
              <w:t xml:space="preserve">quota </w:t>
            </w:r>
            <w:r>
              <w:rPr>
                <w:rFonts w:ascii="Arial" w:hAnsi="Arial" w:cs="Arial"/>
                <w:bCs/>
              </w:rPr>
              <w:t>residuale a carico di Roma Capitale</w:t>
            </w:r>
            <w:r w:rsidR="00E266A1">
              <w:rPr>
                <w:rFonts w:ascii="Arial" w:hAnsi="Arial" w:cs="Arial"/>
                <w:bCs/>
              </w:rPr>
              <w:t xml:space="preserve"> (da fondi Roma Capitale e da fondi legge n. 396 del 1990)</w:t>
            </w:r>
          </w:p>
        </w:tc>
        <w:tc>
          <w:tcPr>
            <w:tcW w:w="2437" w:type="dxa"/>
            <w:tcBorders>
              <w:top w:val="dotted"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D57BF5" w:rsidRPr="00C44A01" w:rsidRDefault="00D57BF5" w:rsidP="0034635A">
            <w:pPr>
              <w:autoSpaceDE w:val="0"/>
              <w:autoSpaceDN w:val="0"/>
              <w:adjustRightInd w:val="0"/>
              <w:spacing w:after="0" w:line="240" w:lineRule="auto"/>
              <w:ind w:left="284" w:right="151"/>
              <w:jc w:val="right"/>
              <w:rPr>
                <w:rFonts w:ascii="Arial" w:hAnsi="Arial" w:cs="Arial"/>
                <w:bCs/>
              </w:rPr>
            </w:pPr>
            <w:r w:rsidRPr="00C44A01">
              <w:rPr>
                <w:rFonts w:ascii="Arial" w:hAnsi="Arial" w:cs="Arial"/>
                <w:bCs/>
              </w:rPr>
              <w:t>38.638.683,7</w:t>
            </w:r>
            <w:r>
              <w:rPr>
                <w:rFonts w:ascii="Arial" w:hAnsi="Arial" w:cs="Arial"/>
                <w:bCs/>
              </w:rPr>
              <w:t>2</w:t>
            </w:r>
          </w:p>
        </w:tc>
      </w:tr>
    </w:tbl>
    <w:p w:rsidR="00E71DBC" w:rsidRPr="00A24BEF" w:rsidRDefault="00E71DBC" w:rsidP="00320DF0">
      <w:pPr>
        <w:spacing w:before="120" w:after="120" w:line="240" w:lineRule="auto"/>
        <w:jc w:val="both"/>
        <w:rPr>
          <w:rFonts w:ascii="Arial" w:hAnsi="Arial" w:cs="Arial"/>
        </w:rPr>
      </w:pPr>
    </w:p>
    <w:p w:rsidR="00D57BF5" w:rsidRPr="00FF5263" w:rsidRDefault="00D57BF5" w:rsidP="00320DF0">
      <w:pPr>
        <w:spacing w:before="120" w:after="120" w:line="240" w:lineRule="auto"/>
        <w:jc w:val="both"/>
        <w:rPr>
          <w:rFonts w:ascii="Arial" w:hAnsi="Arial" w:cs="Arial"/>
          <w:b/>
        </w:rPr>
      </w:pPr>
      <w:r w:rsidRPr="00FF5263">
        <w:rPr>
          <w:rFonts w:ascii="Arial" w:hAnsi="Arial" w:cs="Arial"/>
          <w:b/>
        </w:rPr>
        <w:t>RITENUTO:</w:t>
      </w:r>
    </w:p>
    <w:p w:rsidR="00D57BF5" w:rsidRPr="00EB4AFD" w:rsidRDefault="00D57BF5" w:rsidP="00320DF0">
      <w:pPr>
        <w:numPr>
          <w:ilvl w:val="0"/>
          <w:numId w:val="9"/>
        </w:numPr>
        <w:spacing w:before="120" w:after="120" w:line="240" w:lineRule="auto"/>
        <w:ind w:left="426" w:hanging="426"/>
        <w:jc w:val="both"/>
        <w:rPr>
          <w:rFonts w:ascii="Arial" w:hAnsi="Arial" w:cs="Arial"/>
        </w:rPr>
      </w:pPr>
      <w:r w:rsidRPr="00EB4AFD">
        <w:rPr>
          <w:rFonts w:ascii="Arial" w:hAnsi="Arial" w:cs="Arial"/>
        </w:rPr>
        <w:t>di accogliere le osservazioni MIT sopra esposte, concernenti il programma di esercizio e il cronoprogramma di attuazione dell’intervento;</w:t>
      </w:r>
    </w:p>
    <w:p w:rsidR="00D57BF5" w:rsidRPr="006C31DD" w:rsidRDefault="00D57BF5" w:rsidP="00320DF0">
      <w:pPr>
        <w:numPr>
          <w:ilvl w:val="0"/>
          <w:numId w:val="9"/>
        </w:numPr>
        <w:spacing w:before="120" w:after="120" w:line="240" w:lineRule="auto"/>
        <w:ind w:left="426" w:hanging="426"/>
        <w:jc w:val="both"/>
        <w:rPr>
          <w:rFonts w:ascii="Arial" w:hAnsi="Arial" w:cs="Arial"/>
        </w:rPr>
      </w:pPr>
      <w:r>
        <w:rPr>
          <w:rFonts w:ascii="Arial" w:hAnsi="Arial" w:cs="Arial"/>
        </w:rPr>
        <w:t>di dover prevedere che</w:t>
      </w:r>
      <w:r w:rsidRPr="006C31DD">
        <w:rPr>
          <w:rFonts w:ascii="Arial" w:hAnsi="Arial" w:cs="Arial"/>
        </w:rPr>
        <w:t xml:space="preserve"> eventuali </w:t>
      </w:r>
      <w:r>
        <w:rPr>
          <w:rFonts w:ascii="Arial" w:hAnsi="Arial" w:cs="Arial"/>
        </w:rPr>
        <w:t>incrementi</w:t>
      </w:r>
      <w:r w:rsidRPr="006C31DD">
        <w:rPr>
          <w:rFonts w:ascii="Arial" w:hAnsi="Arial" w:cs="Arial"/>
        </w:rPr>
        <w:t xml:space="preserve"> di costo </w:t>
      </w:r>
      <w:r>
        <w:rPr>
          <w:rFonts w:ascii="Arial" w:hAnsi="Arial" w:cs="Arial"/>
        </w:rPr>
        <w:t xml:space="preserve">dell’intervento </w:t>
      </w:r>
      <w:r w:rsidRPr="006C31DD">
        <w:rPr>
          <w:rFonts w:ascii="Arial" w:hAnsi="Arial" w:cs="Arial"/>
        </w:rPr>
        <w:t xml:space="preserve">dovranno essere </w:t>
      </w:r>
      <w:r>
        <w:rPr>
          <w:rFonts w:ascii="Arial" w:hAnsi="Arial" w:cs="Arial"/>
        </w:rPr>
        <w:t>finanziati</w:t>
      </w:r>
      <w:r w:rsidRPr="006C31DD">
        <w:rPr>
          <w:rFonts w:ascii="Arial" w:hAnsi="Arial" w:cs="Arial"/>
        </w:rPr>
        <w:t xml:space="preserve"> dagli altri soggetti istituzionali </w:t>
      </w:r>
      <w:proofErr w:type="spellStart"/>
      <w:r w:rsidRPr="006C31DD">
        <w:rPr>
          <w:rFonts w:ascii="Arial" w:hAnsi="Arial" w:cs="Arial"/>
        </w:rPr>
        <w:t>cofinanziatori</w:t>
      </w:r>
      <w:proofErr w:type="spellEnd"/>
      <w:r w:rsidRPr="006C31DD">
        <w:rPr>
          <w:rFonts w:ascii="Arial" w:hAnsi="Arial" w:cs="Arial"/>
        </w:rPr>
        <w:t xml:space="preserve"> dell’intervento </w:t>
      </w:r>
      <w:r>
        <w:rPr>
          <w:rFonts w:ascii="Arial" w:hAnsi="Arial" w:cs="Arial"/>
        </w:rPr>
        <w:t xml:space="preserve">stesso </w:t>
      </w:r>
      <w:r w:rsidRPr="006C31DD">
        <w:rPr>
          <w:rFonts w:ascii="Arial" w:hAnsi="Arial" w:cs="Arial"/>
        </w:rPr>
        <w:t xml:space="preserve">(Roma </w:t>
      </w:r>
      <w:r>
        <w:rPr>
          <w:rFonts w:ascii="Arial" w:hAnsi="Arial" w:cs="Arial"/>
        </w:rPr>
        <w:t xml:space="preserve">Capitale </w:t>
      </w:r>
      <w:r w:rsidRPr="006C31DD">
        <w:rPr>
          <w:rFonts w:ascii="Arial" w:hAnsi="Arial" w:cs="Arial"/>
        </w:rPr>
        <w:t>e Regione Lazio)</w:t>
      </w:r>
      <w:r>
        <w:rPr>
          <w:rFonts w:ascii="Arial" w:hAnsi="Arial" w:cs="Arial"/>
        </w:rPr>
        <w:t xml:space="preserve">; </w:t>
      </w:r>
    </w:p>
    <w:p w:rsidR="00D57BF5" w:rsidRPr="006C31DD" w:rsidRDefault="00D57BF5" w:rsidP="00320DF0">
      <w:pPr>
        <w:numPr>
          <w:ilvl w:val="0"/>
          <w:numId w:val="9"/>
        </w:numPr>
        <w:spacing w:before="120" w:after="120" w:line="240" w:lineRule="auto"/>
        <w:ind w:left="426" w:hanging="426"/>
        <w:jc w:val="both"/>
        <w:rPr>
          <w:rFonts w:ascii="Arial" w:hAnsi="Arial" w:cs="Arial"/>
        </w:rPr>
      </w:pPr>
      <w:r>
        <w:rPr>
          <w:rFonts w:ascii="Arial" w:hAnsi="Arial" w:cs="Arial"/>
        </w:rPr>
        <w:t xml:space="preserve">di dover prevedere che </w:t>
      </w:r>
      <w:r w:rsidRPr="006C31DD">
        <w:rPr>
          <w:rFonts w:ascii="Arial" w:hAnsi="Arial" w:cs="Arial"/>
        </w:rPr>
        <w:t>Roma Capitale e Regione Lazio provved</w:t>
      </w:r>
      <w:r>
        <w:rPr>
          <w:rFonts w:ascii="Arial" w:hAnsi="Arial" w:cs="Arial"/>
        </w:rPr>
        <w:t xml:space="preserve">ano </w:t>
      </w:r>
      <w:r w:rsidRPr="006C31DD">
        <w:rPr>
          <w:rFonts w:ascii="Arial" w:hAnsi="Arial" w:cs="Arial"/>
        </w:rPr>
        <w:t xml:space="preserve">ad una tempestiva </w:t>
      </w:r>
      <w:proofErr w:type="spellStart"/>
      <w:r w:rsidRPr="006C31DD">
        <w:rPr>
          <w:rFonts w:ascii="Arial" w:hAnsi="Arial" w:cs="Arial"/>
        </w:rPr>
        <w:t>reiscrizione</w:t>
      </w:r>
      <w:proofErr w:type="spellEnd"/>
      <w:r w:rsidRPr="006C31DD">
        <w:rPr>
          <w:rFonts w:ascii="Arial" w:hAnsi="Arial" w:cs="Arial"/>
        </w:rPr>
        <w:t xml:space="preserve"> a bilancio de</w:t>
      </w:r>
      <w:r>
        <w:rPr>
          <w:rFonts w:ascii="Arial" w:hAnsi="Arial" w:cs="Arial"/>
        </w:rPr>
        <w:t>gli eventuali</w:t>
      </w:r>
      <w:r w:rsidRPr="006C31DD">
        <w:rPr>
          <w:rFonts w:ascii="Arial" w:hAnsi="Arial" w:cs="Arial"/>
        </w:rPr>
        <w:t xml:space="preserve"> finanziamenti perenti, al fine di assicurare </w:t>
      </w:r>
      <w:r>
        <w:rPr>
          <w:rFonts w:ascii="Arial" w:hAnsi="Arial" w:cs="Arial"/>
        </w:rPr>
        <w:t xml:space="preserve">una </w:t>
      </w:r>
      <w:r w:rsidRPr="006C31DD">
        <w:rPr>
          <w:rFonts w:ascii="Arial" w:hAnsi="Arial" w:cs="Arial"/>
        </w:rPr>
        <w:t>celere</w:t>
      </w:r>
      <w:r>
        <w:rPr>
          <w:rFonts w:ascii="Arial" w:hAnsi="Arial" w:cs="Arial"/>
        </w:rPr>
        <w:t xml:space="preserve"> </w:t>
      </w:r>
      <w:r w:rsidRPr="006C31DD">
        <w:rPr>
          <w:rFonts w:ascii="Arial" w:hAnsi="Arial" w:cs="Arial"/>
        </w:rPr>
        <w:t>esecuzione dell’opera</w:t>
      </w:r>
      <w:r>
        <w:rPr>
          <w:rFonts w:ascii="Arial" w:hAnsi="Arial" w:cs="Arial"/>
        </w:rPr>
        <w:t>;</w:t>
      </w:r>
    </w:p>
    <w:p w:rsidR="00D57BF5" w:rsidRPr="006C31DD" w:rsidRDefault="00D57BF5" w:rsidP="00320DF0">
      <w:pPr>
        <w:numPr>
          <w:ilvl w:val="0"/>
          <w:numId w:val="9"/>
        </w:numPr>
        <w:spacing w:before="120" w:after="120" w:line="240" w:lineRule="auto"/>
        <w:ind w:left="426" w:hanging="426"/>
        <w:jc w:val="both"/>
        <w:rPr>
          <w:rFonts w:ascii="Arial" w:hAnsi="Arial" w:cs="Arial"/>
        </w:rPr>
      </w:pPr>
      <w:r w:rsidRPr="006C31DD">
        <w:rPr>
          <w:rFonts w:ascii="Arial" w:hAnsi="Arial" w:cs="Arial"/>
        </w:rPr>
        <w:t xml:space="preserve">di dover prevedere che Roma Capitale e Regione Lazio </w:t>
      </w:r>
      <w:r>
        <w:rPr>
          <w:rFonts w:ascii="Arial" w:hAnsi="Arial" w:cs="Arial"/>
        </w:rPr>
        <w:t>forniscano</w:t>
      </w:r>
      <w:r w:rsidRPr="006C31DD">
        <w:rPr>
          <w:rFonts w:ascii="Arial" w:hAnsi="Arial" w:cs="Arial"/>
        </w:rPr>
        <w:t xml:space="preserve">, </w:t>
      </w:r>
      <w:r w:rsidRPr="003D29C7">
        <w:rPr>
          <w:rFonts w:ascii="Arial" w:hAnsi="Arial" w:cs="Arial"/>
        </w:rPr>
        <w:t>prima della trasmissione della presente delibera</w:t>
      </w:r>
      <w:r w:rsidRPr="006C31DD">
        <w:rPr>
          <w:rFonts w:ascii="Arial" w:hAnsi="Arial" w:cs="Arial"/>
        </w:rPr>
        <w:t xml:space="preserve"> alla Corte dei </w:t>
      </w:r>
      <w:r>
        <w:rPr>
          <w:rFonts w:ascii="Arial" w:hAnsi="Arial" w:cs="Arial"/>
        </w:rPr>
        <w:t>c</w:t>
      </w:r>
      <w:r w:rsidRPr="006C31DD">
        <w:rPr>
          <w:rFonts w:ascii="Arial" w:hAnsi="Arial" w:cs="Arial"/>
        </w:rPr>
        <w:t>onti, adeguata evidenza della sussistenza della quota di cofinanziamento a proprio carico</w:t>
      </w:r>
      <w:r>
        <w:rPr>
          <w:rFonts w:ascii="Arial" w:hAnsi="Arial" w:cs="Arial"/>
        </w:rPr>
        <w:t>;</w:t>
      </w:r>
      <w:r w:rsidRPr="006C31DD">
        <w:rPr>
          <w:rFonts w:ascii="Arial" w:hAnsi="Arial" w:cs="Arial"/>
        </w:rPr>
        <w:t xml:space="preserve"> </w:t>
      </w:r>
    </w:p>
    <w:p w:rsidR="00D57BF5" w:rsidRDefault="00D57BF5" w:rsidP="00320DF0">
      <w:pPr>
        <w:numPr>
          <w:ilvl w:val="0"/>
          <w:numId w:val="9"/>
        </w:numPr>
        <w:spacing w:before="120" w:after="120" w:line="240" w:lineRule="auto"/>
        <w:ind w:left="426" w:hanging="426"/>
        <w:jc w:val="both"/>
        <w:rPr>
          <w:rFonts w:ascii="Arial" w:hAnsi="Arial" w:cs="Arial"/>
          <w:bCs/>
        </w:rPr>
      </w:pPr>
      <w:r>
        <w:rPr>
          <w:rFonts w:ascii="Arial" w:hAnsi="Arial" w:cs="Arial"/>
          <w:bCs/>
        </w:rPr>
        <w:t>di dover prevedere che</w:t>
      </w:r>
      <w:r w:rsidRPr="006C31DD">
        <w:rPr>
          <w:rFonts w:ascii="Arial" w:hAnsi="Arial" w:cs="Arial"/>
          <w:bCs/>
        </w:rPr>
        <w:t xml:space="preserve"> Roma Capitale </w:t>
      </w:r>
      <w:r>
        <w:rPr>
          <w:rFonts w:ascii="Arial" w:hAnsi="Arial" w:cs="Arial"/>
          <w:bCs/>
        </w:rPr>
        <w:t xml:space="preserve">assicuri </w:t>
      </w:r>
      <w:r w:rsidRPr="006C31DD">
        <w:rPr>
          <w:rFonts w:ascii="Arial" w:hAnsi="Arial" w:cs="Arial"/>
          <w:bCs/>
        </w:rPr>
        <w:t>che l’opera venga gestita dal soggetto aggiudicatore, ai fini dell’inserimento in BDAP, come progetto complesso, attribuendo alle singole tratte/lotti codici specifici (CLP) collegati al CUP iniziale</w:t>
      </w:r>
      <w:r>
        <w:rPr>
          <w:rFonts w:ascii="Arial" w:hAnsi="Arial" w:cs="Arial"/>
          <w:bCs/>
        </w:rPr>
        <w:t>;</w:t>
      </w:r>
    </w:p>
    <w:p w:rsidR="00D57BF5" w:rsidRDefault="00D57BF5" w:rsidP="00320DF0">
      <w:pPr>
        <w:numPr>
          <w:ilvl w:val="0"/>
          <w:numId w:val="9"/>
        </w:numPr>
        <w:spacing w:before="120" w:after="120" w:line="240" w:lineRule="auto"/>
        <w:ind w:left="426" w:hanging="426"/>
        <w:jc w:val="both"/>
        <w:rPr>
          <w:rFonts w:ascii="Arial" w:hAnsi="Arial" w:cs="Arial"/>
          <w:bCs/>
        </w:rPr>
      </w:pPr>
      <w:r>
        <w:rPr>
          <w:rFonts w:ascii="Arial" w:hAnsi="Arial" w:cs="Arial"/>
          <w:bCs/>
        </w:rPr>
        <w:t>di dover prevedere che i</w:t>
      </w:r>
      <w:r w:rsidRPr="006C31DD">
        <w:rPr>
          <w:rFonts w:ascii="Arial" w:hAnsi="Arial" w:cs="Arial"/>
          <w:bCs/>
        </w:rPr>
        <w:t>l soggetto aggiudicatore</w:t>
      </w:r>
      <w:r>
        <w:rPr>
          <w:rFonts w:ascii="Arial" w:hAnsi="Arial" w:cs="Arial"/>
          <w:bCs/>
        </w:rPr>
        <w:t>,</w:t>
      </w:r>
      <w:r w:rsidRPr="006C31DD">
        <w:rPr>
          <w:rFonts w:ascii="Arial" w:hAnsi="Arial" w:cs="Arial"/>
          <w:bCs/>
        </w:rPr>
        <w:t xml:space="preserve"> Roma </w:t>
      </w:r>
      <w:r>
        <w:rPr>
          <w:rFonts w:ascii="Arial" w:hAnsi="Arial" w:cs="Arial"/>
          <w:bCs/>
        </w:rPr>
        <w:t>M</w:t>
      </w:r>
      <w:r w:rsidRPr="006C31DD">
        <w:rPr>
          <w:rFonts w:ascii="Arial" w:hAnsi="Arial" w:cs="Arial"/>
          <w:bCs/>
        </w:rPr>
        <w:t xml:space="preserve">etropolitane </w:t>
      </w:r>
      <w:r>
        <w:rPr>
          <w:rFonts w:ascii="Arial" w:hAnsi="Arial" w:cs="Arial"/>
          <w:bCs/>
        </w:rPr>
        <w:t>S.r.l.,</w:t>
      </w:r>
      <w:r w:rsidRPr="006C31DD">
        <w:rPr>
          <w:rFonts w:ascii="Arial" w:hAnsi="Arial" w:cs="Arial"/>
          <w:bCs/>
        </w:rPr>
        <w:t xml:space="preserve"> aggiorn</w:t>
      </w:r>
      <w:r>
        <w:rPr>
          <w:rFonts w:ascii="Arial" w:hAnsi="Arial" w:cs="Arial"/>
          <w:bCs/>
        </w:rPr>
        <w:t>i,</w:t>
      </w:r>
      <w:r w:rsidRPr="006C31DD">
        <w:rPr>
          <w:rFonts w:ascii="Arial" w:hAnsi="Arial" w:cs="Arial"/>
          <w:bCs/>
        </w:rPr>
        <w:t xml:space="preserve"> nella Banca Dati delle Amministrazioni Pubbliche (BDAP), ai sensi del decreto legislativo n. 229 del 2011, le informazioni relative all’intera opera</w:t>
      </w:r>
      <w:r>
        <w:rPr>
          <w:rFonts w:ascii="Arial" w:hAnsi="Arial" w:cs="Arial"/>
          <w:bCs/>
        </w:rPr>
        <w:t xml:space="preserve"> e che</w:t>
      </w:r>
      <w:r w:rsidRPr="006C31DD">
        <w:rPr>
          <w:rFonts w:ascii="Arial" w:hAnsi="Arial" w:cs="Arial"/>
          <w:bCs/>
        </w:rPr>
        <w:t xml:space="preserve"> Roma Capitale assicur</w:t>
      </w:r>
      <w:r>
        <w:rPr>
          <w:rFonts w:ascii="Arial" w:hAnsi="Arial" w:cs="Arial"/>
          <w:bCs/>
        </w:rPr>
        <w:t>i</w:t>
      </w:r>
      <w:r w:rsidRPr="006C31DD">
        <w:rPr>
          <w:rFonts w:ascii="Arial" w:hAnsi="Arial" w:cs="Arial"/>
          <w:bCs/>
        </w:rPr>
        <w:t xml:space="preserve"> che le informazioni trasmesse da Roma </w:t>
      </w:r>
      <w:r>
        <w:rPr>
          <w:rFonts w:ascii="Arial" w:hAnsi="Arial" w:cs="Arial"/>
          <w:bCs/>
        </w:rPr>
        <w:t>M</w:t>
      </w:r>
      <w:r w:rsidRPr="006C31DD">
        <w:rPr>
          <w:rFonts w:ascii="Arial" w:hAnsi="Arial" w:cs="Arial"/>
          <w:bCs/>
        </w:rPr>
        <w:t xml:space="preserve">etropolitane </w:t>
      </w:r>
      <w:r w:rsidRPr="003D29C7">
        <w:rPr>
          <w:rFonts w:ascii="Arial" w:hAnsi="Arial" w:cs="Arial"/>
          <w:bCs/>
        </w:rPr>
        <w:t>S.r.l.</w:t>
      </w:r>
      <w:r w:rsidRPr="006C31DD">
        <w:rPr>
          <w:rFonts w:ascii="Arial" w:hAnsi="Arial" w:cs="Arial"/>
          <w:bCs/>
        </w:rPr>
        <w:t xml:space="preserve"> in BDAP siano allineate a quelle ogget</w:t>
      </w:r>
      <w:r>
        <w:rPr>
          <w:rFonts w:ascii="Arial" w:hAnsi="Arial" w:cs="Arial"/>
          <w:bCs/>
        </w:rPr>
        <w:t>to di approvazione del Comitato;</w:t>
      </w:r>
    </w:p>
    <w:p w:rsidR="00D57BF5" w:rsidRPr="00345209" w:rsidRDefault="00D57BF5" w:rsidP="00320DF0">
      <w:pPr>
        <w:numPr>
          <w:ilvl w:val="0"/>
          <w:numId w:val="9"/>
        </w:numPr>
        <w:spacing w:before="120" w:after="120" w:line="240" w:lineRule="auto"/>
        <w:ind w:left="426" w:hanging="426"/>
        <w:jc w:val="both"/>
        <w:rPr>
          <w:rFonts w:ascii="Arial" w:hAnsi="Arial" w:cs="Arial"/>
          <w:bCs/>
        </w:rPr>
      </w:pPr>
      <w:r w:rsidRPr="00345209">
        <w:rPr>
          <w:rFonts w:ascii="Arial" w:hAnsi="Arial" w:cs="Arial"/>
        </w:rPr>
        <w:lastRenderedPageBreak/>
        <w:t xml:space="preserve">di includere, </w:t>
      </w:r>
      <w:r>
        <w:rPr>
          <w:rFonts w:ascii="Arial" w:hAnsi="Arial" w:cs="Arial"/>
        </w:rPr>
        <w:t xml:space="preserve">pertanto, </w:t>
      </w:r>
      <w:r w:rsidRPr="00345209">
        <w:rPr>
          <w:rFonts w:ascii="Arial" w:hAnsi="Arial" w:cs="Arial"/>
        </w:rPr>
        <w:t xml:space="preserve">tra gli obblighi del soggetto aggiudicatore, quello di assicurare a questo Comitato flussi costanti di informazioni, coerenti per contenuti e modalità con il sistema di monitoraggio degli investimenti pubblici di cui all’articolo 1, comma 5, della legge 17 maggio 1999, n. 144; </w:t>
      </w:r>
    </w:p>
    <w:p w:rsidR="00D57BF5" w:rsidRPr="002B5E99" w:rsidRDefault="00D57BF5" w:rsidP="00320DF0">
      <w:pPr>
        <w:spacing w:before="120" w:after="120" w:line="240" w:lineRule="auto"/>
        <w:jc w:val="both"/>
        <w:rPr>
          <w:rFonts w:ascii="Arial" w:hAnsi="Arial"/>
        </w:rPr>
      </w:pPr>
      <w:r w:rsidRPr="00FF5263">
        <w:rPr>
          <w:rFonts w:ascii="Arial" w:hAnsi="Arial"/>
          <w:b/>
        </w:rPr>
        <w:t>TENUTO CONTO</w:t>
      </w:r>
      <w:r w:rsidRPr="002B5E99">
        <w:rPr>
          <w:rFonts w:ascii="Arial" w:hAnsi="Arial"/>
        </w:rPr>
        <w:t xml:space="preserve"> dell’esame della proposta svolto ai sensi del vigente regolamento di questo Comitato (articolo 3 della delibera 30 aprile 2012, n. 62);</w:t>
      </w:r>
    </w:p>
    <w:p w:rsidR="00D57BF5" w:rsidRDefault="00D57BF5" w:rsidP="00320DF0">
      <w:pPr>
        <w:spacing w:before="120" w:after="120" w:line="240" w:lineRule="auto"/>
        <w:jc w:val="both"/>
        <w:rPr>
          <w:rFonts w:ascii="Arial" w:hAnsi="Arial"/>
        </w:rPr>
      </w:pPr>
      <w:r w:rsidRPr="00FF5263">
        <w:rPr>
          <w:rFonts w:ascii="Arial" w:hAnsi="Arial"/>
          <w:b/>
        </w:rPr>
        <w:t xml:space="preserve">VISTA </w:t>
      </w:r>
      <w:r w:rsidRPr="00103039">
        <w:rPr>
          <w:rFonts w:ascii="Arial" w:hAnsi="Arial"/>
        </w:rPr>
        <w:t xml:space="preserve">la nota </w:t>
      </w:r>
      <w:r w:rsidRPr="00C862D2">
        <w:rPr>
          <w:rFonts w:ascii="Arial" w:hAnsi="Arial"/>
          <w:bCs/>
        </w:rPr>
        <w:t>28 novembre 2018</w:t>
      </w:r>
      <w:r w:rsidRPr="00103039">
        <w:rPr>
          <w:rFonts w:ascii="Arial" w:hAnsi="Arial"/>
        </w:rPr>
        <w:t xml:space="preserve">, n. </w:t>
      </w:r>
      <w:r w:rsidRPr="00C862D2">
        <w:rPr>
          <w:rFonts w:ascii="Arial" w:hAnsi="Arial"/>
        </w:rPr>
        <w:t>6013</w:t>
      </w:r>
      <w:r w:rsidRPr="00103039">
        <w:rPr>
          <w:rFonts w:ascii="Arial" w:hAnsi="Arial"/>
        </w:rPr>
        <w:t>, predisposta congiuntamente dalla Presidenza del Consiglio dei Ministri – Dipartimento per la programmazione e il coordinamento della politica economica (DIPE) e dal Ministero dell’economia e delle finanze e posta a base dell’odierna seduta del Comitato, contenente le valutazioni e le prescrizioni da riportare nella presente delibera;</w:t>
      </w:r>
    </w:p>
    <w:p w:rsidR="00D57BF5" w:rsidRPr="00FF1246" w:rsidRDefault="00D57BF5" w:rsidP="00320DF0">
      <w:pPr>
        <w:pStyle w:val="Corpotesto"/>
        <w:spacing w:before="120" w:after="120"/>
        <w:rPr>
          <w:rFonts w:ascii="Arial" w:hAnsi="Arial" w:cs="Arial"/>
          <w:szCs w:val="22"/>
        </w:rPr>
      </w:pPr>
      <w:r w:rsidRPr="00FF5263">
        <w:rPr>
          <w:rFonts w:ascii="Arial" w:hAnsi="Arial" w:cs="Arial"/>
          <w:b/>
          <w:szCs w:val="22"/>
        </w:rPr>
        <w:t>SU PROPOSTA</w:t>
      </w:r>
      <w:r w:rsidRPr="009F3308">
        <w:rPr>
          <w:rFonts w:ascii="Arial" w:hAnsi="Arial" w:cs="Arial"/>
          <w:szCs w:val="22"/>
        </w:rPr>
        <w:t xml:space="preserve"> del Ministro delle infrastrutture e dei trasporti;</w:t>
      </w:r>
    </w:p>
    <w:p w:rsidR="00D57BF5" w:rsidRPr="00103039" w:rsidRDefault="00D57BF5" w:rsidP="00E266A1">
      <w:pPr>
        <w:pStyle w:val="Titolo2"/>
        <w:tabs>
          <w:tab w:val="clear" w:pos="576"/>
          <w:tab w:val="num" w:pos="426"/>
        </w:tabs>
        <w:spacing w:before="480" w:after="360"/>
        <w:ind w:left="426" w:hanging="426"/>
        <w:rPr>
          <w:rFonts w:ascii="Arial" w:eastAsia="Arial Unicode MS" w:hAnsi="Arial" w:cs="Arial"/>
          <w:b w:val="0"/>
          <w:spacing w:val="80"/>
          <w:szCs w:val="28"/>
        </w:rPr>
      </w:pPr>
      <w:r w:rsidRPr="00103039">
        <w:rPr>
          <w:rFonts w:ascii="Arial" w:eastAsia="Arial Unicode MS" w:hAnsi="Arial" w:cs="Arial"/>
          <w:b w:val="0"/>
          <w:spacing w:val="80"/>
          <w:szCs w:val="28"/>
        </w:rPr>
        <w:t>DELIBERA</w:t>
      </w:r>
    </w:p>
    <w:p w:rsidR="00D57BF5" w:rsidRPr="00412FE4" w:rsidRDefault="00D57BF5" w:rsidP="0034635A">
      <w:pPr>
        <w:pStyle w:val="Corpotesto"/>
        <w:numPr>
          <w:ilvl w:val="2"/>
          <w:numId w:val="3"/>
        </w:numPr>
        <w:tabs>
          <w:tab w:val="clear" w:pos="360"/>
          <w:tab w:val="left" w:pos="426"/>
        </w:tabs>
        <w:spacing w:before="120" w:after="120"/>
        <w:ind w:left="426" w:hanging="426"/>
        <w:rPr>
          <w:rFonts w:ascii="Arial" w:hAnsi="Arial" w:cs="Arial"/>
          <w:szCs w:val="22"/>
        </w:rPr>
      </w:pPr>
      <w:r>
        <w:rPr>
          <w:rFonts w:ascii="Arial" w:hAnsi="Arial" w:cs="Arial"/>
          <w:szCs w:val="22"/>
        </w:rPr>
        <w:t>P</w:t>
      </w:r>
      <w:r w:rsidRPr="00412FE4">
        <w:rPr>
          <w:rFonts w:ascii="Arial" w:hAnsi="Arial" w:cs="Arial"/>
          <w:szCs w:val="22"/>
        </w:rPr>
        <w:t xml:space="preserve">er la realizzazione dell’intervento </w:t>
      </w:r>
      <w:r>
        <w:rPr>
          <w:rFonts w:ascii="Arial" w:hAnsi="Arial" w:cs="Arial"/>
          <w:szCs w:val="22"/>
        </w:rPr>
        <w:t>di Roma Capitale</w:t>
      </w:r>
      <w:r w:rsidRPr="006C31DD">
        <w:rPr>
          <w:rFonts w:ascii="Arial" w:hAnsi="Arial" w:cs="Arial"/>
          <w:bCs/>
        </w:rPr>
        <w:t xml:space="preserve"> </w:t>
      </w:r>
      <w:r w:rsidRPr="00412FE4">
        <w:rPr>
          <w:rFonts w:ascii="Arial" w:hAnsi="Arial" w:cs="Arial"/>
          <w:szCs w:val="22"/>
        </w:rPr>
        <w:t>denominato “Sistema di trasporto pubblico a capacità intermedia a servizio dei corridoi EUR-Tor de’ Cenci e EUR Laurentina-Tor Pagnotta”</w:t>
      </w:r>
      <w:r>
        <w:rPr>
          <w:rFonts w:ascii="Arial" w:hAnsi="Arial" w:cs="Arial"/>
          <w:szCs w:val="22"/>
        </w:rPr>
        <w:t>,</w:t>
      </w:r>
      <w:r w:rsidRPr="00412FE4">
        <w:rPr>
          <w:rFonts w:ascii="Arial" w:hAnsi="Arial" w:cs="Arial"/>
          <w:szCs w:val="22"/>
        </w:rPr>
        <w:t xml:space="preserve"> rimodulato come esposto in premessa</w:t>
      </w:r>
      <w:r>
        <w:rPr>
          <w:rFonts w:ascii="Arial" w:hAnsi="Arial" w:cs="Arial"/>
          <w:szCs w:val="22"/>
        </w:rPr>
        <w:t>,</w:t>
      </w:r>
      <w:r w:rsidRPr="00412FE4">
        <w:rPr>
          <w:rFonts w:ascii="Arial" w:hAnsi="Arial" w:cs="Arial"/>
          <w:szCs w:val="22"/>
        </w:rPr>
        <w:t xml:space="preserve"> </w:t>
      </w:r>
      <w:r>
        <w:rPr>
          <w:rFonts w:ascii="Arial" w:hAnsi="Arial" w:cs="Arial"/>
          <w:szCs w:val="22"/>
        </w:rPr>
        <w:t>è</w:t>
      </w:r>
      <w:r w:rsidRPr="00412FE4">
        <w:rPr>
          <w:rFonts w:ascii="Arial" w:hAnsi="Arial" w:cs="Arial"/>
          <w:szCs w:val="22"/>
        </w:rPr>
        <w:t xml:space="preserve"> autorizzato l’utilizzo delle economie di gara pari a </w:t>
      </w:r>
      <w:r>
        <w:rPr>
          <w:rFonts w:ascii="Arial" w:hAnsi="Arial" w:cs="Arial"/>
          <w:szCs w:val="22"/>
        </w:rPr>
        <w:t xml:space="preserve">complessivi </w:t>
      </w:r>
      <w:r w:rsidRPr="00412FE4">
        <w:rPr>
          <w:rFonts w:ascii="Arial" w:hAnsi="Arial" w:cs="Arial"/>
          <w:szCs w:val="22"/>
        </w:rPr>
        <w:t>23.409.007,6</w:t>
      </w:r>
      <w:r>
        <w:rPr>
          <w:rFonts w:ascii="Arial" w:hAnsi="Arial" w:cs="Arial"/>
          <w:szCs w:val="22"/>
        </w:rPr>
        <w:t>6</w:t>
      </w:r>
      <w:r w:rsidRPr="00412FE4">
        <w:rPr>
          <w:rFonts w:ascii="Arial" w:hAnsi="Arial" w:cs="Arial"/>
          <w:szCs w:val="22"/>
        </w:rPr>
        <w:t xml:space="preserve"> euro, di cui la quota statale è </w:t>
      </w:r>
      <w:r>
        <w:rPr>
          <w:rFonts w:ascii="Arial" w:hAnsi="Arial" w:cs="Arial"/>
          <w:szCs w:val="22"/>
        </w:rPr>
        <w:t>pari a</w:t>
      </w:r>
      <w:r w:rsidRPr="00412FE4">
        <w:rPr>
          <w:rFonts w:ascii="Arial" w:hAnsi="Arial" w:cs="Arial"/>
          <w:szCs w:val="22"/>
        </w:rPr>
        <w:t xml:space="preserve"> 12.649.</w:t>
      </w:r>
      <w:r>
        <w:rPr>
          <w:rFonts w:ascii="Arial" w:hAnsi="Arial" w:cs="Arial"/>
          <w:szCs w:val="22"/>
        </w:rPr>
        <w:t xml:space="preserve">057,29 </w:t>
      </w:r>
      <w:r w:rsidRPr="00412FE4">
        <w:rPr>
          <w:rFonts w:ascii="Arial" w:hAnsi="Arial" w:cs="Arial"/>
          <w:szCs w:val="22"/>
        </w:rPr>
        <w:t>euro.</w:t>
      </w:r>
    </w:p>
    <w:p w:rsidR="00D57BF5" w:rsidRPr="00412FE4" w:rsidRDefault="00D57BF5" w:rsidP="007E0A4B">
      <w:pPr>
        <w:pStyle w:val="Corpotesto"/>
        <w:numPr>
          <w:ilvl w:val="2"/>
          <w:numId w:val="3"/>
        </w:numPr>
        <w:tabs>
          <w:tab w:val="clear" w:pos="360"/>
          <w:tab w:val="left" w:pos="426"/>
        </w:tabs>
        <w:spacing w:before="120" w:after="120"/>
        <w:ind w:left="426" w:hanging="426"/>
        <w:rPr>
          <w:rFonts w:ascii="Arial" w:hAnsi="Arial" w:cs="Arial"/>
          <w:szCs w:val="22"/>
        </w:rPr>
      </w:pPr>
      <w:r w:rsidRPr="00412FE4">
        <w:rPr>
          <w:rFonts w:ascii="Arial" w:hAnsi="Arial" w:cs="Arial"/>
          <w:szCs w:val="22"/>
        </w:rPr>
        <w:t xml:space="preserve">Il costo ammissibile a finanziamento dell’intervento di cui al precedente punto 1 ammonta a </w:t>
      </w:r>
      <w:r w:rsidRPr="00412FE4">
        <w:rPr>
          <w:rFonts w:ascii="Arial" w:hAnsi="Arial" w:cs="Arial"/>
          <w:bCs/>
          <w:szCs w:val="22"/>
        </w:rPr>
        <w:t xml:space="preserve">118.661.596,99 </w:t>
      </w:r>
      <w:r w:rsidRPr="00412FE4">
        <w:rPr>
          <w:rFonts w:ascii="Arial" w:hAnsi="Arial" w:cs="Arial"/>
          <w:szCs w:val="22"/>
        </w:rPr>
        <w:t xml:space="preserve">euro e il relativo contributo statale è </w:t>
      </w:r>
      <w:r>
        <w:rPr>
          <w:rFonts w:ascii="Arial" w:hAnsi="Arial" w:cs="Arial"/>
          <w:szCs w:val="22"/>
        </w:rPr>
        <w:t>rideterminato</w:t>
      </w:r>
      <w:r w:rsidRPr="00412FE4">
        <w:rPr>
          <w:rFonts w:ascii="Arial" w:hAnsi="Arial" w:cs="Arial"/>
          <w:szCs w:val="22"/>
        </w:rPr>
        <w:t xml:space="preserve"> in </w:t>
      </w:r>
      <w:r w:rsidRPr="00412FE4">
        <w:rPr>
          <w:rFonts w:ascii="Arial" w:hAnsi="Arial" w:cs="Arial"/>
          <w:bCs/>
          <w:szCs w:val="22"/>
        </w:rPr>
        <w:t>71.022.913,26</w:t>
      </w:r>
      <w:r w:rsidRPr="00404645">
        <w:rPr>
          <w:rFonts w:ascii="Arial" w:hAnsi="Arial" w:cs="Arial"/>
          <w:bCs/>
          <w:szCs w:val="22"/>
        </w:rPr>
        <w:t xml:space="preserve"> </w:t>
      </w:r>
      <w:r w:rsidRPr="00412FE4">
        <w:rPr>
          <w:rFonts w:ascii="Arial" w:hAnsi="Arial" w:cs="Arial"/>
          <w:szCs w:val="22"/>
        </w:rPr>
        <w:t>euro</w:t>
      </w:r>
      <w:r>
        <w:rPr>
          <w:rFonts w:ascii="Arial" w:hAnsi="Arial" w:cs="Arial"/>
          <w:szCs w:val="22"/>
        </w:rPr>
        <w:t xml:space="preserve"> a valere sui fondi della legge n. 211 del 1992 e successive modificazioni</w:t>
      </w:r>
      <w:r w:rsidRPr="00412FE4">
        <w:rPr>
          <w:rFonts w:ascii="Arial" w:hAnsi="Arial" w:cs="Arial"/>
          <w:szCs w:val="22"/>
        </w:rPr>
        <w:t>.</w:t>
      </w:r>
    </w:p>
    <w:p w:rsidR="00D57BF5" w:rsidRPr="00F04E87" w:rsidRDefault="00D57BF5" w:rsidP="007E0A4B">
      <w:pPr>
        <w:numPr>
          <w:ilvl w:val="2"/>
          <w:numId w:val="3"/>
        </w:numPr>
        <w:tabs>
          <w:tab w:val="clear" w:pos="360"/>
          <w:tab w:val="left" w:pos="426"/>
        </w:tabs>
        <w:autoSpaceDE w:val="0"/>
        <w:autoSpaceDN w:val="0"/>
        <w:adjustRightInd w:val="0"/>
        <w:spacing w:before="120" w:after="120" w:line="240" w:lineRule="auto"/>
        <w:ind w:left="426" w:hanging="426"/>
        <w:jc w:val="both"/>
        <w:rPr>
          <w:rFonts w:ascii="Arial" w:hAnsi="Arial" w:cs="Arial"/>
        </w:rPr>
      </w:pPr>
      <w:r w:rsidRPr="00103039">
        <w:rPr>
          <w:rFonts w:ascii="Arial" w:hAnsi="Arial" w:cs="Arial"/>
        </w:rPr>
        <w:t xml:space="preserve">Il Ministero delle infrastrutture e dei trasporti </w:t>
      </w:r>
      <w:r w:rsidRPr="00FF5263">
        <w:rPr>
          <w:rFonts w:ascii="Arial" w:hAnsi="Arial" w:cs="Arial"/>
        </w:rPr>
        <w:t>sottoporrà l’istruttoria tecnico-economica sull’intervento in questione al Comitato tecnico permanente per la sicurezza dei sistemi di trasporto a impianti fissi</w:t>
      </w:r>
      <w:r w:rsidRPr="00103039">
        <w:rPr>
          <w:rFonts w:ascii="Arial" w:hAnsi="Arial" w:cs="Arial"/>
        </w:rPr>
        <w:t>, senza determinare aumento dei costi dell’intervento stesso.</w:t>
      </w:r>
      <w:r>
        <w:rPr>
          <w:rFonts w:ascii="Arial" w:hAnsi="Arial" w:cs="Arial"/>
        </w:rPr>
        <w:t xml:space="preserve"> </w:t>
      </w:r>
      <w:r w:rsidRPr="00F04E87">
        <w:rPr>
          <w:rFonts w:ascii="Arial" w:hAnsi="Arial" w:cs="Arial"/>
        </w:rPr>
        <w:t>Qualora</w:t>
      </w:r>
      <w:r>
        <w:rPr>
          <w:rFonts w:ascii="Arial" w:hAnsi="Arial" w:cs="Arial"/>
        </w:rPr>
        <w:t xml:space="preserve">, </w:t>
      </w:r>
      <w:r w:rsidRPr="00F04E87">
        <w:rPr>
          <w:rFonts w:ascii="Arial" w:hAnsi="Arial" w:cs="Arial"/>
        </w:rPr>
        <w:t>da tale istruttor</w:t>
      </w:r>
      <w:r>
        <w:rPr>
          <w:rFonts w:ascii="Arial" w:hAnsi="Arial" w:cs="Arial"/>
        </w:rPr>
        <w:t>ia derivasse una riduzione dell’</w:t>
      </w:r>
      <w:r w:rsidRPr="00F04E87">
        <w:rPr>
          <w:rFonts w:ascii="Arial" w:hAnsi="Arial" w:cs="Arial"/>
        </w:rPr>
        <w:t>importo delle opere, il succitato Ministero provvederà a ridurre in misura percentuale il contributo statale riconoscibile,</w:t>
      </w:r>
      <w:r w:rsidR="007E0A4B">
        <w:rPr>
          <w:rFonts w:ascii="Arial" w:hAnsi="Arial" w:cs="Arial"/>
        </w:rPr>
        <w:t xml:space="preserve"> lasciando inalterata la quota </w:t>
      </w:r>
      <w:r w:rsidR="00B63E79">
        <w:rPr>
          <w:rFonts w:ascii="Arial" w:hAnsi="Arial" w:cs="Arial"/>
        </w:rPr>
        <w:t>percentuale</w:t>
      </w:r>
      <w:r w:rsidR="007E0A4B">
        <w:rPr>
          <w:rFonts w:ascii="Arial" w:hAnsi="Arial" w:cs="Arial"/>
        </w:rPr>
        <w:t xml:space="preserve"> di fina</w:t>
      </w:r>
      <w:r w:rsidR="00B63E79">
        <w:rPr>
          <w:rFonts w:ascii="Arial" w:hAnsi="Arial" w:cs="Arial"/>
        </w:rPr>
        <w:t>n</w:t>
      </w:r>
      <w:r w:rsidR="007E0A4B">
        <w:rPr>
          <w:rFonts w:ascii="Arial" w:hAnsi="Arial" w:cs="Arial"/>
        </w:rPr>
        <w:t>ziamento statale,</w:t>
      </w:r>
      <w:r w:rsidRPr="00F04E87">
        <w:rPr>
          <w:rFonts w:ascii="Arial" w:hAnsi="Arial" w:cs="Arial"/>
        </w:rPr>
        <w:t xml:space="preserve"> dandone </w:t>
      </w:r>
      <w:r>
        <w:rPr>
          <w:rFonts w:ascii="Arial" w:hAnsi="Arial" w:cs="Arial"/>
        </w:rPr>
        <w:t>informativa</w:t>
      </w:r>
      <w:r w:rsidRPr="00F04E87">
        <w:rPr>
          <w:rFonts w:ascii="Arial" w:hAnsi="Arial" w:cs="Arial"/>
        </w:rPr>
        <w:t xml:space="preserve"> a questo Comitato, mentre in caso di maggiori oneri il relativo finanziamento sarà a carico di </w:t>
      </w:r>
      <w:r>
        <w:rPr>
          <w:rFonts w:ascii="Arial" w:hAnsi="Arial" w:cs="Arial"/>
        </w:rPr>
        <w:t>Roma Capitale e della Regione Lazio</w:t>
      </w:r>
      <w:r w:rsidRPr="00F04E87">
        <w:rPr>
          <w:rFonts w:ascii="Arial" w:hAnsi="Arial" w:cs="Arial"/>
        </w:rPr>
        <w:t>.</w:t>
      </w:r>
    </w:p>
    <w:p w:rsidR="00D57BF5" w:rsidRDefault="00D57BF5" w:rsidP="007E0A4B">
      <w:pPr>
        <w:numPr>
          <w:ilvl w:val="2"/>
          <w:numId w:val="3"/>
        </w:numPr>
        <w:tabs>
          <w:tab w:val="clear" w:pos="360"/>
          <w:tab w:val="left" w:pos="426"/>
        </w:tabs>
        <w:autoSpaceDE w:val="0"/>
        <w:autoSpaceDN w:val="0"/>
        <w:adjustRightInd w:val="0"/>
        <w:spacing w:before="120" w:after="120" w:line="240" w:lineRule="auto"/>
        <w:ind w:left="426" w:hanging="426"/>
        <w:jc w:val="both"/>
        <w:rPr>
          <w:rFonts w:ascii="Arial" w:hAnsi="Arial" w:cs="Arial"/>
        </w:rPr>
      </w:pPr>
      <w:r>
        <w:rPr>
          <w:rFonts w:ascii="Arial" w:hAnsi="Arial" w:cs="Arial"/>
        </w:rPr>
        <w:t>I</w:t>
      </w:r>
      <w:r w:rsidRPr="00B72AF8">
        <w:rPr>
          <w:rFonts w:ascii="Arial" w:hAnsi="Arial" w:cs="Arial"/>
        </w:rPr>
        <w:t>l servizio S3 Tor di Valle-</w:t>
      </w:r>
      <w:r>
        <w:rPr>
          <w:rFonts w:ascii="Arial" w:hAnsi="Arial" w:cs="Arial"/>
        </w:rPr>
        <w:t>EUR</w:t>
      </w:r>
      <w:r w:rsidRPr="00B72AF8">
        <w:rPr>
          <w:rFonts w:ascii="Arial" w:hAnsi="Arial" w:cs="Arial"/>
        </w:rPr>
        <w:t xml:space="preserve"> Fermi dovrà essere espletato con autobus</w:t>
      </w:r>
      <w:r>
        <w:rPr>
          <w:rFonts w:ascii="Arial" w:hAnsi="Arial" w:cs="Arial"/>
        </w:rPr>
        <w:t>,</w:t>
      </w:r>
      <w:r w:rsidRPr="00B72AF8">
        <w:rPr>
          <w:rFonts w:ascii="Arial" w:hAnsi="Arial" w:cs="Arial"/>
        </w:rPr>
        <w:t xml:space="preserve"> </w:t>
      </w:r>
      <w:r>
        <w:rPr>
          <w:rFonts w:ascii="Arial" w:hAnsi="Arial" w:cs="Arial"/>
        </w:rPr>
        <w:t>mentr</w:t>
      </w:r>
      <w:r w:rsidRPr="00B72AF8">
        <w:rPr>
          <w:rFonts w:ascii="Arial" w:hAnsi="Arial" w:cs="Arial"/>
        </w:rPr>
        <w:t xml:space="preserve">e i filobus </w:t>
      </w:r>
      <w:r>
        <w:rPr>
          <w:rFonts w:ascii="Arial" w:hAnsi="Arial" w:cs="Arial"/>
        </w:rPr>
        <w:t>previsti per</w:t>
      </w:r>
      <w:r w:rsidRPr="00B72AF8">
        <w:rPr>
          <w:rFonts w:ascii="Arial" w:hAnsi="Arial" w:cs="Arial"/>
        </w:rPr>
        <w:t xml:space="preserve"> tale servizio dovranno essere dedicati ai servizi S1 e S2</w:t>
      </w:r>
      <w:r>
        <w:rPr>
          <w:rFonts w:ascii="Arial" w:hAnsi="Arial" w:cs="Arial"/>
        </w:rPr>
        <w:t>.</w:t>
      </w:r>
    </w:p>
    <w:p w:rsidR="00D57BF5" w:rsidRPr="00103039" w:rsidRDefault="00D57BF5" w:rsidP="007E0A4B">
      <w:pPr>
        <w:numPr>
          <w:ilvl w:val="2"/>
          <w:numId w:val="3"/>
        </w:numPr>
        <w:tabs>
          <w:tab w:val="clear" w:pos="360"/>
          <w:tab w:val="left" w:pos="426"/>
        </w:tabs>
        <w:autoSpaceDE w:val="0"/>
        <w:autoSpaceDN w:val="0"/>
        <w:adjustRightInd w:val="0"/>
        <w:spacing w:before="120" w:after="120" w:line="240" w:lineRule="auto"/>
        <w:ind w:left="426" w:hanging="426"/>
        <w:jc w:val="both"/>
        <w:rPr>
          <w:rFonts w:ascii="Arial" w:hAnsi="Arial" w:cs="Arial"/>
        </w:rPr>
      </w:pPr>
      <w:r>
        <w:rPr>
          <w:rFonts w:ascii="Arial" w:hAnsi="Arial" w:cs="Arial"/>
        </w:rPr>
        <w:t xml:space="preserve">Il Ministero delle infrastrutture e dei trasporti, </w:t>
      </w:r>
      <w:r w:rsidRPr="00B72AF8">
        <w:rPr>
          <w:rFonts w:ascii="Arial" w:hAnsi="Arial" w:cs="Arial"/>
        </w:rPr>
        <w:t>per l'attuazione de</w:t>
      </w:r>
      <w:r>
        <w:rPr>
          <w:rFonts w:ascii="Arial" w:hAnsi="Arial" w:cs="Arial"/>
        </w:rPr>
        <w:t xml:space="preserve">i </w:t>
      </w:r>
      <w:r w:rsidRPr="00B72AF8">
        <w:rPr>
          <w:rFonts w:ascii="Arial" w:hAnsi="Arial" w:cs="Arial"/>
        </w:rPr>
        <w:t>corridoi</w:t>
      </w:r>
      <w:r>
        <w:rPr>
          <w:rFonts w:ascii="Arial" w:hAnsi="Arial" w:cs="Arial"/>
        </w:rPr>
        <w:t xml:space="preserve"> filoviari,</w:t>
      </w:r>
      <w:r w:rsidRPr="00B72AF8">
        <w:rPr>
          <w:rFonts w:ascii="Arial" w:hAnsi="Arial" w:cs="Arial"/>
        </w:rPr>
        <w:t xml:space="preserve"> </w:t>
      </w:r>
      <w:r>
        <w:rPr>
          <w:rFonts w:ascii="Arial" w:hAnsi="Arial" w:cs="Arial"/>
        </w:rPr>
        <w:t xml:space="preserve">chiederà la redazione di </w:t>
      </w:r>
      <w:r w:rsidRPr="00B72AF8">
        <w:rPr>
          <w:rFonts w:ascii="Arial" w:hAnsi="Arial" w:cs="Arial"/>
        </w:rPr>
        <w:t xml:space="preserve">un cronoprogramma il cui rispetto </w:t>
      </w:r>
      <w:r>
        <w:rPr>
          <w:rFonts w:ascii="Arial" w:hAnsi="Arial" w:cs="Arial"/>
        </w:rPr>
        <w:t>dovrà essere</w:t>
      </w:r>
      <w:r w:rsidRPr="00B72AF8">
        <w:rPr>
          <w:rFonts w:ascii="Arial" w:hAnsi="Arial" w:cs="Arial"/>
        </w:rPr>
        <w:t xml:space="preserve"> considerato vincolante per l'erogazione dei contributi</w:t>
      </w:r>
      <w:r>
        <w:rPr>
          <w:rFonts w:ascii="Arial" w:hAnsi="Arial" w:cs="Arial"/>
        </w:rPr>
        <w:t xml:space="preserve"> successivi.</w:t>
      </w:r>
    </w:p>
    <w:p w:rsidR="00D57BF5" w:rsidRDefault="00D57BF5" w:rsidP="007E0A4B">
      <w:pPr>
        <w:pStyle w:val="Corpotesto"/>
        <w:numPr>
          <w:ilvl w:val="2"/>
          <w:numId w:val="3"/>
        </w:numPr>
        <w:tabs>
          <w:tab w:val="clear" w:pos="360"/>
          <w:tab w:val="left" w:pos="426"/>
        </w:tabs>
        <w:spacing w:before="120" w:after="120"/>
        <w:ind w:left="426" w:hanging="426"/>
        <w:rPr>
          <w:rFonts w:ascii="Arial" w:hAnsi="Arial" w:cs="Arial"/>
          <w:szCs w:val="22"/>
        </w:rPr>
      </w:pPr>
      <w:r w:rsidRPr="00103039">
        <w:rPr>
          <w:rFonts w:ascii="Arial" w:hAnsi="Arial" w:cs="Arial"/>
          <w:szCs w:val="22"/>
        </w:rPr>
        <w:lastRenderedPageBreak/>
        <w:t>Il Ministero delle infrastrutture e dei trasporti vigilerà sull’attuazione della presente delibera, sollecitando i soggetti interessati ad adottare tutte le misure per una tempestiva realizzazione dell’opera di cui al precedente punto 1.</w:t>
      </w:r>
    </w:p>
    <w:p w:rsidR="00D57BF5" w:rsidRDefault="00D57BF5" w:rsidP="00B63E79">
      <w:pPr>
        <w:pStyle w:val="Corpotesto"/>
        <w:numPr>
          <w:ilvl w:val="2"/>
          <w:numId w:val="3"/>
        </w:numPr>
        <w:tabs>
          <w:tab w:val="clear" w:pos="360"/>
          <w:tab w:val="left" w:pos="426"/>
        </w:tabs>
        <w:spacing w:before="120" w:after="120"/>
        <w:ind w:left="426" w:hanging="426"/>
        <w:rPr>
          <w:rFonts w:ascii="Arial" w:hAnsi="Arial" w:cs="Arial"/>
          <w:szCs w:val="22"/>
        </w:rPr>
      </w:pPr>
      <w:r w:rsidRPr="00B72AF8">
        <w:rPr>
          <w:rFonts w:ascii="Arial" w:hAnsi="Arial" w:cs="Arial"/>
          <w:szCs w:val="22"/>
        </w:rPr>
        <w:t>Roma Capitale e Regione Lazio</w:t>
      </w:r>
      <w:r>
        <w:rPr>
          <w:rFonts w:ascii="Arial" w:hAnsi="Arial" w:cs="Arial"/>
          <w:szCs w:val="22"/>
        </w:rPr>
        <w:t xml:space="preserve"> provvederanno alla tempestiva </w:t>
      </w:r>
      <w:proofErr w:type="spellStart"/>
      <w:r w:rsidRPr="004E25B5">
        <w:rPr>
          <w:rFonts w:ascii="Arial" w:hAnsi="Arial" w:cs="Arial"/>
          <w:szCs w:val="22"/>
        </w:rPr>
        <w:t>reiscrizione</w:t>
      </w:r>
      <w:proofErr w:type="spellEnd"/>
      <w:r w:rsidRPr="004E25B5">
        <w:rPr>
          <w:rFonts w:ascii="Arial" w:hAnsi="Arial" w:cs="Arial"/>
          <w:szCs w:val="22"/>
        </w:rPr>
        <w:t xml:space="preserve"> a bilancio de</w:t>
      </w:r>
      <w:r>
        <w:rPr>
          <w:rFonts w:ascii="Arial" w:hAnsi="Arial" w:cs="Arial"/>
          <w:szCs w:val="22"/>
        </w:rPr>
        <w:t xml:space="preserve">i </w:t>
      </w:r>
      <w:r w:rsidRPr="004E25B5">
        <w:rPr>
          <w:rFonts w:ascii="Arial" w:hAnsi="Arial" w:cs="Arial"/>
          <w:szCs w:val="22"/>
        </w:rPr>
        <w:t>finanziamenti perenti</w:t>
      </w:r>
      <w:r>
        <w:rPr>
          <w:rFonts w:ascii="Arial" w:hAnsi="Arial" w:cs="Arial"/>
          <w:szCs w:val="22"/>
        </w:rPr>
        <w:t xml:space="preserve">. </w:t>
      </w:r>
    </w:p>
    <w:p w:rsidR="00D57BF5" w:rsidRDefault="00D57BF5" w:rsidP="00B63E79">
      <w:pPr>
        <w:pStyle w:val="Corpotesto"/>
        <w:numPr>
          <w:ilvl w:val="2"/>
          <w:numId w:val="3"/>
        </w:numPr>
        <w:tabs>
          <w:tab w:val="clear" w:pos="360"/>
          <w:tab w:val="left" w:pos="426"/>
        </w:tabs>
        <w:spacing w:before="120" w:after="120"/>
        <w:ind w:left="426" w:hanging="426"/>
        <w:rPr>
          <w:rFonts w:ascii="Arial" w:hAnsi="Arial" w:cs="Arial"/>
          <w:szCs w:val="22"/>
        </w:rPr>
      </w:pPr>
      <w:r w:rsidRPr="00404645">
        <w:rPr>
          <w:rFonts w:ascii="Arial" w:hAnsi="Arial" w:cs="Arial"/>
          <w:szCs w:val="22"/>
        </w:rPr>
        <w:t xml:space="preserve">Prima della trasmissione della presente delibera alla Corte dei </w:t>
      </w:r>
      <w:r>
        <w:rPr>
          <w:rFonts w:ascii="Arial" w:hAnsi="Arial" w:cs="Arial"/>
          <w:szCs w:val="22"/>
        </w:rPr>
        <w:t>c</w:t>
      </w:r>
      <w:r w:rsidRPr="00404645">
        <w:rPr>
          <w:rFonts w:ascii="Arial" w:hAnsi="Arial" w:cs="Arial"/>
          <w:szCs w:val="22"/>
        </w:rPr>
        <w:t>onti</w:t>
      </w:r>
      <w:r>
        <w:rPr>
          <w:rFonts w:ascii="Arial" w:hAnsi="Arial" w:cs="Arial"/>
          <w:szCs w:val="22"/>
        </w:rPr>
        <w:t>,</w:t>
      </w:r>
      <w:r w:rsidRPr="00404645">
        <w:rPr>
          <w:rFonts w:ascii="Arial" w:hAnsi="Arial" w:cs="Arial"/>
          <w:szCs w:val="22"/>
        </w:rPr>
        <w:t xml:space="preserve"> Roma Capitale e Regione Lazio </w:t>
      </w:r>
      <w:r>
        <w:rPr>
          <w:rFonts w:ascii="Arial" w:hAnsi="Arial" w:cs="Arial"/>
          <w:szCs w:val="22"/>
        </w:rPr>
        <w:t xml:space="preserve">dovranno </w:t>
      </w:r>
      <w:r w:rsidRPr="00404645">
        <w:rPr>
          <w:rFonts w:ascii="Arial" w:hAnsi="Arial" w:cs="Arial"/>
          <w:szCs w:val="22"/>
        </w:rPr>
        <w:t>forni</w:t>
      </w:r>
      <w:r>
        <w:rPr>
          <w:rFonts w:ascii="Arial" w:hAnsi="Arial" w:cs="Arial"/>
          <w:szCs w:val="22"/>
        </w:rPr>
        <w:t>re</w:t>
      </w:r>
      <w:r w:rsidRPr="00404645">
        <w:rPr>
          <w:rFonts w:ascii="Arial" w:hAnsi="Arial" w:cs="Arial"/>
          <w:szCs w:val="22"/>
        </w:rPr>
        <w:t xml:space="preserve"> adeguata evidenza della sussistenza della quota di cofinanziamento a proprio carico</w:t>
      </w:r>
      <w:r>
        <w:rPr>
          <w:rFonts w:ascii="Arial" w:hAnsi="Arial" w:cs="Arial"/>
          <w:szCs w:val="22"/>
        </w:rPr>
        <w:t>.</w:t>
      </w:r>
    </w:p>
    <w:p w:rsidR="00D57BF5" w:rsidRPr="00103039" w:rsidRDefault="00D57BF5" w:rsidP="00B63E79">
      <w:pPr>
        <w:pStyle w:val="Corpotesto"/>
        <w:numPr>
          <w:ilvl w:val="2"/>
          <w:numId w:val="3"/>
        </w:numPr>
        <w:tabs>
          <w:tab w:val="clear" w:pos="360"/>
          <w:tab w:val="left" w:pos="426"/>
        </w:tabs>
        <w:spacing w:before="120" w:after="120"/>
        <w:ind w:left="426" w:hanging="426"/>
        <w:rPr>
          <w:rFonts w:ascii="Arial" w:hAnsi="Arial" w:cs="Arial"/>
        </w:rPr>
      </w:pPr>
      <w:r w:rsidRPr="00103039">
        <w:rPr>
          <w:rFonts w:ascii="Arial" w:hAnsi="Arial" w:cs="Arial"/>
          <w:szCs w:val="22"/>
        </w:rPr>
        <w:t xml:space="preserve">I </w:t>
      </w:r>
      <w:r w:rsidRPr="00103039">
        <w:rPr>
          <w:rFonts w:ascii="Arial" w:hAnsi="Arial" w:cs="Arial"/>
        </w:rPr>
        <w:t xml:space="preserve">soggetti aggiudicatori di interventi comprensivi di una spesa per </w:t>
      </w:r>
      <w:r w:rsidR="00B63E79">
        <w:rPr>
          <w:rFonts w:ascii="Arial" w:hAnsi="Arial" w:cs="Arial"/>
        </w:rPr>
        <w:t>filobus</w:t>
      </w:r>
      <w:r w:rsidRPr="00103039">
        <w:rPr>
          <w:rFonts w:ascii="Arial" w:hAnsi="Arial" w:cs="Arial"/>
        </w:rPr>
        <w:t xml:space="preserve">, che siano almeno in parte a carico della finanza pubblica, dovranno assicurare che i </w:t>
      </w:r>
      <w:r w:rsidR="00B63E79">
        <w:rPr>
          <w:rFonts w:ascii="Arial" w:hAnsi="Arial" w:cs="Arial"/>
        </w:rPr>
        <w:t>filobus</w:t>
      </w:r>
      <w:r w:rsidRPr="00103039">
        <w:rPr>
          <w:rFonts w:ascii="Arial" w:hAnsi="Arial" w:cs="Arial"/>
        </w:rPr>
        <w:t xml:space="preserve"> stessi restino di proprietà pubblica, salvo che il servizio venga poi posto a gara.</w:t>
      </w:r>
    </w:p>
    <w:p w:rsidR="00D57BF5" w:rsidRPr="00103039" w:rsidRDefault="00D57BF5" w:rsidP="00B63E79">
      <w:pPr>
        <w:pStyle w:val="Corpotesto"/>
        <w:numPr>
          <w:ilvl w:val="2"/>
          <w:numId w:val="3"/>
        </w:numPr>
        <w:tabs>
          <w:tab w:val="clear" w:pos="360"/>
          <w:tab w:val="left" w:pos="426"/>
        </w:tabs>
        <w:spacing w:before="120" w:after="120"/>
        <w:ind w:left="426" w:hanging="426"/>
        <w:rPr>
          <w:rFonts w:ascii="Arial" w:hAnsi="Arial" w:cs="Arial"/>
        </w:rPr>
      </w:pPr>
      <w:r w:rsidRPr="00103039">
        <w:rPr>
          <w:rFonts w:ascii="Arial" w:hAnsi="Arial" w:cs="Arial"/>
        </w:rPr>
        <w:t xml:space="preserve">Resta </w:t>
      </w:r>
      <w:r>
        <w:rPr>
          <w:rFonts w:ascii="Arial" w:hAnsi="Arial" w:cs="Arial"/>
        </w:rPr>
        <w:t xml:space="preserve">fermo </w:t>
      </w:r>
      <w:r w:rsidR="007E0A4B" w:rsidRPr="00103039">
        <w:rPr>
          <w:rFonts w:ascii="Arial" w:hAnsi="Arial" w:cs="Arial"/>
        </w:rPr>
        <w:t>l’</w:t>
      </w:r>
      <w:r w:rsidR="007E0A4B">
        <w:rPr>
          <w:rFonts w:ascii="Arial" w:hAnsi="Arial" w:cs="Arial"/>
        </w:rPr>
        <w:t>obbligo</w:t>
      </w:r>
      <w:r w:rsidR="007E0A4B" w:rsidRPr="00103039">
        <w:rPr>
          <w:rFonts w:ascii="Arial" w:hAnsi="Arial" w:cs="Arial"/>
        </w:rPr>
        <w:t xml:space="preserve"> </w:t>
      </w:r>
      <w:r w:rsidRPr="00103039">
        <w:rPr>
          <w:rFonts w:ascii="Arial" w:hAnsi="Arial" w:cs="Arial"/>
        </w:rPr>
        <w:t xml:space="preserve">di </w:t>
      </w:r>
      <w:r w:rsidR="00B63E79">
        <w:rPr>
          <w:rFonts w:ascii="Arial" w:hAnsi="Arial" w:cs="Arial"/>
        </w:rPr>
        <w:t>inviare</w:t>
      </w:r>
      <w:r w:rsidR="007E0A4B">
        <w:rPr>
          <w:rFonts w:ascii="Arial" w:hAnsi="Arial" w:cs="Arial"/>
        </w:rPr>
        <w:t xml:space="preserve"> una </w:t>
      </w:r>
      <w:r w:rsidRPr="00103039">
        <w:rPr>
          <w:rFonts w:ascii="Arial" w:hAnsi="Arial" w:cs="Arial"/>
        </w:rPr>
        <w:t>relazione annuale</w:t>
      </w:r>
      <w:r w:rsidR="007E0A4B">
        <w:rPr>
          <w:rFonts w:ascii="Arial" w:hAnsi="Arial" w:cs="Arial"/>
        </w:rPr>
        <w:t xml:space="preserve"> </w:t>
      </w:r>
      <w:r w:rsidR="00B63E79" w:rsidRPr="0034635A">
        <w:rPr>
          <w:rFonts w:ascii="Arial" w:hAnsi="Arial" w:cs="Arial"/>
        </w:rPr>
        <w:t>a questo Comitato</w:t>
      </w:r>
      <w:r w:rsidRPr="00B63E79">
        <w:rPr>
          <w:rFonts w:ascii="Arial" w:hAnsi="Arial" w:cs="Arial"/>
        </w:rPr>
        <w:t>,</w:t>
      </w:r>
      <w:r w:rsidRPr="00103039">
        <w:rPr>
          <w:rFonts w:ascii="Arial" w:hAnsi="Arial" w:cs="Arial"/>
        </w:rPr>
        <w:t xml:space="preserve"> entro il 31 gennaio di ogni anno</w:t>
      </w:r>
      <w:r>
        <w:rPr>
          <w:rFonts w:ascii="Arial" w:hAnsi="Arial" w:cs="Arial"/>
        </w:rPr>
        <w:t>,</w:t>
      </w:r>
      <w:r w:rsidRPr="00103039">
        <w:rPr>
          <w:rFonts w:ascii="Arial" w:hAnsi="Arial" w:cs="Arial"/>
        </w:rPr>
        <w:t xml:space="preserve"> fino alla completa realizzazione del programma </w:t>
      </w:r>
      <w:r>
        <w:rPr>
          <w:rFonts w:ascii="Arial" w:hAnsi="Arial" w:cs="Arial"/>
        </w:rPr>
        <w:t xml:space="preserve">complessivo </w:t>
      </w:r>
      <w:r w:rsidRPr="00103039">
        <w:rPr>
          <w:rFonts w:ascii="Arial" w:hAnsi="Arial" w:cs="Arial"/>
        </w:rPr>
        <w:t>d’interventi</w:t>
      </w:r>
      <w:r>
        <w:rPr>
          <w:rFonts w:ascii="Arial" w:hAnsi="Arial" w:cs="Arial"/>
        </w:rPr>
        <w:t xml:space="preserve"> finanziati a carico della legge n. 211 del 1992 e successive modificazioni</w:t>
      </w:r>
      <w:r w:rsidRPr="00103039">
        <w:rPr>
          <w:rFonts w:ascii="Arial" w:hAnsi="Arial" w:cs="Arial"/>
        </w:rPr>
        <w:t>.</w:t>
      </w:r>
    </w:p>
    <w:p w:rsidR="00D57BF5" w:rsidRPr="000E6B1E" w:rsidRDefault="00D57BF5" w:rsidP="0034635A">
      <w:pPr>
        <w:pStyle w:val="Corpotesto"/>
        <w:numPr>
          <w:ilvl w:val="2"/>
          <w:numId w:val="3"/>
        </w:numPr>
        <w:tabs>
          <w:tab w:val="clear" w:pos="360"/>
          <w:tab w:val="left" w:pos="426"/>
        </w:tabs>
        <w:spacing w:before="120" w:after="120"/>
        <w:ind w:left="426" w:hanging="426"/>
        <w:rPr>
          <w:rFonts w:ascii="Arial" w:hAnsi="Arial" w:cs="Arial"/>
        </w:rPr>
      </w:pPr>
      <w:r w:rsidRPr="00103039">
        <w:rPr>
          <w:rFonts w:ascii="Arial" w:hAnsi="Arial" w:cs="Arial"/>
        </w:rPr>
        <w:t xml:space="preserve">Ai sensi della citata delibera n. 24 del 2004, il CUP relativo all’intervento di cui al suddetto punto 1, dovrà essere evidenziato in tutta la documentazione </w:t>
      </w:r>
      <w:r w:rsidRPr="00A828D1">
        <w:rPr>
          <w:rFonts w:ascii="Arial" w:hAnsi="Arial" w:cs="Arial"/>
        </w:rPr>
        <w:t>amministrativa e contabile concernente l’intervento stesso</w:t>
      </w:r>
      <w:r w:rsidRPr="000E6B1E">
        <w:rPr>
          <w:rFonts w:ascii="Arial" w:hAnsi="Arial" w:cs="Arial"/>
        </w:rPr>
        <w:t>.</w:t>
      </w:r>
    </w:p>
    <w:p w:rsidR="00D57BF5" w:rsidRPr="00FF5263" w:rsidRDefault="00D57BF5" w:rsidP="0034635A">
      <w:pPr>
        <w:numPr>
          <w:ilvl w:val="2"/>
          <w:numId w:val="3"/>
        </w:numPr>
        <w:tabs>
          <w:tab w:val="clear" w:pos="360"/>
          <w:tab w:val="num" w:pos="426"/>
        </w:tabs>
        <w:spacing w:before="120" w:after="120" w:line="240" w:lineRule="auto"/>
        <w:ind w:left="426" w:hanging="426"/>
        <w:jc w:val="both"/>
        <w:rPr>
          <w:rFonts w:ascii="Arial" w:hAnsi="Arial" w:cs="Arial"/>
          <w:szCs w:val="20"/>
        </w:rPr>
      </w:pPr>
      <w:r w:rsidRPr="000E6B1E">
        <w:rPr>
          <w:rFonts w:ascii="Arial" w:hAnsi="Arial" w:cs="Arial"/>
          <w:szCs w:val="20"/>
        </w:rPr>
        <w:t xml:space="preserve">Roma Capitale dovrà assicurare che l’opera venga gestita dal soggetto aggiudicatore Roma </w:t>
      </w:r>
      <w:r w:rsidRPr="000E6B1E">
        <w:rPr>
          <w:rFonts w:ascii="Arial" w:hAnsi="Arial" w:cs="Arial"/>
          <w:bCs/>
          <w:szCs w:val="20"/>
        </w:rPr>
        <w:t>Metropolitane S.r.l.</w:t>
      </w:r>
      <w:r w:rsidR="0034635A">
        <w:rPr>
          <w:rFonts w:ascii="Arial" w:hAnsi="Arial" w:cs="Arial"/>
          <w:szCs w:val="20"/>
        </w:rPr>
        <w:t>,</w:t>
      </w:r>
      <w:r w:rsidRPr="000E6B1E">
        <w:rPr>
          <w:rFonts w:ascii="Arial" w:hAnsi="Arial" w:cs="Arial"/>
          <w:szCs w:val="20"/>
        </w:rPr>
        <w:t xml:space="preserve"> ai fini dell’inserimento nella Banca Dati delle Amministrazioni Pubbliche (BDAP), come progetto complesso, attribuendo alle singole tratte/lotti codici specifici (CLP), c</w:t>
      </w:r>
      <w:r w:rsidRPr="00FF5263">
        <w:rPr>
          <w:rFonts w:ascii="Arial" w:hAnsi="Arial" w:cs="Arial"/>
          <w:szCs w:val="20"/>
        </w:rPr>
        <w:t xml:space="preserve">ollegati al CUP iniziale. Il predetto soggetto aggiudicatore dovrà aggiornare nella Banca Dati delle Amministrazioni Pubbliche (BDAP), ai sensi del decreto legislativo n. 229 del 2011, le informazioni relative all’intera opera. Roma Capitale dovrà assicurare che le informazioni trasmesse inserite in BDAP dal predetto soggetto aggiudicatore siano allineate a quelle oggetto di approvazione di questo Comitato. </w:t>
      </w:r>
    </w:p>
    <w:p w:rsidR="00D57BF5" w:rsidRPr="000E6B1E" w:rsidRDefault="00D57BF5" w:rsidP="0034635A">
      <w:pPr>
        <w:numPr>
          <w:ilvl w:val="2"/>
          <w:numId w:val="3"/>
        </w:numPr>
        <w:spacing w:before="120" w:after="120" w:line="240" w:lineRule="auto"/>
        <w:jc w:val="both"/>
        <w:rPr>
          <w:rFonts w:ascii="Arial" w:hAnsi="Arial" w:cs="Arial"/>
          <w:szCs w:val="20"/>
        </w:rPr>
      </w:pPr>
      <w:r w:rsidRPr="000E6B1E">
        <w:rPr>
          <w:rFonts w:ascii="Arial" w:hAnsi="Arial" w:cs="Arial"/>
          <w:szCs w:val="20"/>
        </w:rPr>
        <w:t xml:space="preserve">Il Ministero delle infrastrutture e dei trasporti provvederà ad assicurare, per conto di questo Comitato, la conservazione dei documenti relativi </w:t>
      </w:r>
      <w:r>
        <w:rPr>
          <w:rFonts w:ascii="Arial" w:hAnsi="Arial" w:cs="Arial"/>
          <w:szCs w:val="20"/>
        </w:rPr>
        <w:t>all’intervento oggetto del</w:t>
      </w:r>
      <w:r w:rsidRPr="000E6B1E">
        <w:rPr>
          <w:rFonts w:ascii="Arial" w:hAnsi="Arial" w:cs="Arial"/>
          <w:szCs w:val="20"/>
        </w:rPr>
        <w:t>la presente delibera.</w:t>
      </w:r>
    </w:p>
    <w:p w:rsidR="00D57BF5" w:rsidRPr="00A24BEF" w:rsidRDefault="00D57BF5" w:rsidP="0034635A">
      <w:pPr>
        <w:pStyle w:val="Corpotesto"/>
        <w:tabs>
          <w:tab w:val="num" w:pos="426"/>
        </w:tabs>
        <w:spacing w:after="120"/>
        <w:ind w:left="426" w:hanging="426"/>
        <w:rPr>
          <w:rFonts w:ascii="Arial" w:hAnsi="Arial" w:cs="Arial"/>
          <w:sz w:val="16"/>
          <w:szCs w:val="16"/>
        </w:rPr>
      </w:pPr>
    </w:p>
    <w:p w:rsidR="00D57BF5" w:rsidRPr="00103039" w:rsidRDefault="00D57BF5" w:rsidP="0034635A">
      <w:pPr>
        <w:pStyle w:val="Corpotesto"/>
        <w:tabs>
          <w:tab w:val="num" w:pos="426"/>
        </w:tabs>
        <w:spacing w:after="120"/>
        <w:ind w:left="426" w:hanging="426"/>
        <w:rPr>
          <w:rFonts w:ascii="Arial" w:hAnsi="Arial" w:cs="Arial"/>
        </w:rPr>
      </w:pPr>
      <w:r w:rsidRPr="00103039">
        <w:rPr>
          <w:rFonts w:ascii="Arial" w:hAnsi="Arial" w:cs="Arial"/>
        </w:rPr>
        <w:t xml:space="preserve">Roma, </w:t>
      </w:r>
      <w:r>
        <w:rPr>
          <w:rFonts w:ascii="Arial" w:hAnsi="Arial" w:cs="Arial"/>
        </w:rPr>
        <w:t>28 novembre</w:t>
      </w:r>
      <w:r w:rsidRPr="00103039">
        <w:rPr>
          <w:rFonts w:ascii="Arial" w:hAnsi="Arial" w:cs="Arial"/>
        </w:rPr>
        <w:t xml:space="preserve"> 2018</w:t>
      </w:r>
    </w:p>
    <w:p w:rsidR="00D57BF5" w:rsidRPr="00BD6754" w:rsidRDefault="00D57BF5" w:rsidP="0034635A">
      <w:pPr>
        <w:pStyle w:val="Rientrocorpodeltesto31"/>
        <w:tabs>
          <w:tab w:val="left" w:pos="5812"/>
        </w:tabs>
        <w:spacing w:before="480"/>
        <w:ind w:left="720" w:right="45"/>
      </w:pPr>
      <w:r w:rsidRPr="00BD6754">
        <w:t xml:space="preserve">    IL SEGRETARIO</w:t>
      </w:r>
      <w:r w:rsidRPr="00BD6754">
        <w:tab/>
        <w:t>IL VICE PRESIDENTE</w:t>
      </w:r>
    </w:p>
    <w:p w:rsidR="00D57BF5" w:rsidRPr="00BD6754" w:rsidRDefault="00D57BF5" w:rsidP="0034635A">
      <w:pPr>
        <w:pStyle w:val="Rientrocorpodeltesto31"/>
        <w:tabs>
          <w:tab w:val="left" w:pos="6120"/>
        </w:tabs>
        <w:ind w:left="720" w:right="45"/>
      </w:pPr>
      <w:r w:rsidRPr="00BD6754">
        <w:t>Giancarlo GIORGETTI</w:t>
      </w:r>
      <w:r w:rsidRPr="00BD6754">
        <w:tab/>
        <w:t xml:space="preserve"> Giovanni TRIA</w:t>
      </w:r>
    </w:p>
    <w:p w:rsidR="00243836" w:rsidRDefault="00243836" w:rsidP="0034635A">
      <w:pPr>
        <w:spacing w:line="240" w:lineRule="auto"/>
      </w:pPr>
    </w:p>
    <w:sectPr w:rsidR="00243836" w:rsidSect="00795A21">
      <w:pgSz w:w="11906" w:h="16838"/>
      <w:pgMar w:top="3799"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Titolo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1C065A8F"/>
    <w:multiLevelType w:val="hybridMultilevel"/>
    <w:tmpl w:val="F2CAC3EA"/>
    <w:lvl w:ilvl="0" w:tplc="0410000F">
      <w:start w:val="1"/>
      <w:numFmt w:val="decimal"/>
      <w:lvlText w:val="%1."/>
      <w:lvlJc w:val="left"/>
      <w:pPr>
        <w:tabs>
          <w:tab w:val="num" w:pos="360"/>
        </w:tabs>
        <w:ind w:left="340" w:hanging="34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DCD6E5B"/>
    <w:multiLevelType w:val="hybridMultilevel"/>
    <w:tmpl w:val="D116C256"/>
    <w:lvl w:ilvl="0" w:tplc="7722E694">
      <w:start w:val="1"/>
      <w:numFmt w:val="bullet"/>
      <w:pStyle w:val="Elenco"/>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89F2499"/>
    <w:multiLevelType w:val="hybridMultilevel"/>
    <w:tmpl w:val="5F4C85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96D008D"/>
    <w:multiLevelType w:val="multilevel"/>
    <w:tmpl w:val="572E13AA"/>
    <w:lvl w:ilvl="0">
      <w:start w:val="3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nsid w:val="2FB911AC"/>
    <w:multiLevelType w:val="multilevel"/>
    <w:tmpl w:val="F3F2233E"/>
    <w:lvl w:ilvl="0">
      <w:start w:val="1"/>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3."/>
      <w:lvlJc w:val="left"/>
      <w:pPr>
        <w:tabs>
          <w:tab w:val="num" w:pos="360"/>
        </w:tabs>
        <w:ind w:left="360" w:hanging="36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36EC474E"/>
    <w:multiLevelType w:val="hybridMultilevel"/>
    <w:tmpl w:val="5B6808F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0AE4351"/>
    <w:multiLevelType w:val="multilevel"/>
    <w:tmpl w:val="15EC7EE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nsid w:val="7D922F0B"/>
    <w:multiLevelType w:val="hybridMultilevel"/>
    <w:tmpl w:val="ECCC02C2"/>
    <w:lvl w:ilvl="0" w:tplc="B1A0B832">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7"/>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F5"/>
    <w:rsid w:val="0015601D"/>
    <w:rsid w:val="0019631A"/>
    <w:rsid w:val="001D6A34"/>
    <w:rsid w:val="00243836"/>
    <w:rsid w:val="00320DF0"/>
    <w:rsid w:val="003369B5"/>
    <w:rsid w:val="0034635A"/>
    <w:rsid w:val="0036155B"/>
    <w:rsid w:val="00447D4B"/>
    <w:rsid w:val="00454CC5"/>
    <w:rsid w:val="005677F6"/>
    <w:rsid w:val="00603C4B"/>
    <w:rsid w:val="00676A1D"/>
    <w:rsid w:val="00795A21"/>
    <w:rsid w:val="007E0A4B"/>
    <w:rsid w:val="00A24BEF"/>
    <w:rsid w:val="00B63E79"/>
    <w:rsid w:val="00C070DD"/>
    <w:rsid w:val="00D57BF5"/>
    <w:rsid w:val="00DB14B4"/>
    <w:rsid w:val="00E266A1"/>
    <w:rsid w:val="00E71DBC"/>
    <w:rsid w:val="00F86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D57BF5"/>
    <w:pPr>
      <w:keepNext/>
      <w:numPr>
        <w:ilvl w:val="1"/>
        <w:numId w:val="2"/>
      </w:numPr>
      <w:spacing w:before="360" w:after="240" w:line="240" w:lineRule="auto"/>
      <w:jc w:val="center"/>
      <w:outlineLvl w:val="1"/>
    </w:pPr>
    <w:rPr>
      <w:rFonts w:ascii="Book Antiqua" w:eastAsia="Times New Roman" w:hAnsi="Book Antiqua" w:cs="Times New Roman"/>
      <w:b/>
      <w:spacing w:val="70"/>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57BF5"/>
    <w:rPr>
      <w:rFonts w:ascii="Book Antiqua" w:eastAsia="Times New Roman" w:hAnsi="Book Antiqua" w:cs="Times New Roman"/>
      <w:b/>
      <w:spacing w:val="70"/>
      <w:sz w:val="28"/>
      <w:szCs w:val="20"/>
      <w:lang w:eastAsia="it-IT"/>
    </w:rPr>
  </w:style>
  <w:style w:type="paragraph" w:styleId="Corpotesto">
    <w:name w:val="Body Text"/>
    <w:aliases w:val="Carattere, Carattere"/>
    <w:basedOn w:val="Normale"/>
    <w:link w:val="CorpotestoCarattere"/>
    <w:rsid w:val="00D57BF5"/>
    <w:pPr>
      <w:spacing w:after="0" w:line="240" w:lineRule="auto"/>
      <w:jc w:val="both"/>
    </w:pPr>
    <w:rPr>
      <w:rFonts w:ascii="Book Antiqua" w:eastAsia="Times New Roman" w:hAnsi="Book Antiqua" w:cs="Times New Roman"/>
      <w:szCs w:val="20"/>
      <w:lang w:eastAsia="it-IT"/>
    </w:rPr>
  </w:style>
  <w:style w:type="character" w:customStyle="1" w:styleId="CorpotestoCarattere">
    <w:name w:val="Corpo testo Carattere"/>
    <w:aliases w:val="Carattere Carattere, Carattere Carattere"/>
    <w:basedOn w:val="Carpredefinitoparagrafo"/>
    <w:link w:val="Corpotesto"/>
    <w:rsid w:val="00D57BF5"/>
    <w:rPr>
      <w:rFonts w:ascii="Book Antiqua" w:eastAsia="Times New Roman" w:hAnsi="Book Antiqua" w:cs="Times New Roman"/>
      <w:szCs w:val="20"/>
      <w:lang w:eastAsia="it-IT"/>
    </w:rPr>
  </w:style>
  <w:style w:type="paragraph" w:styleId="Elenco">
    <w:name w:val="List"/>
    <w:basedOn w:val="Normale"/>
    <w:rsid w:val="00D57BF5"/>
    <w:pPr>
      <w:numPr>
        <w:numId w:val="1"/>
      </w:numPr>
      <w:spacing w:after="120" w:line="240" w:lineRule="auto"/>
      <w:jc w:val="both"/>
    </w:pPr>
    <w:rPr>
      <w:rFonts w:ascii="Arial" w:eastAsia="Times New Roman" w:hAnsi="Arial" w:cs="Times New Roman"/>
      <w:szCs w:val="20"/>
      <w:lang w:eastAsia="it-IT"/>
    </w:rPr>
  </w:style>
  <w:style w:type="paragraph" w:customStyle="1" w:styleId="Rientrocorpodeltesto31">
    <w:name w:val="Rientro corpo del testo 31"/>
    <w:basedOn w:val="Normale"/>
    <w:rsid w:val="00D57BF5"/>
    <w:pPr>
      <w:overflowPunct w:val="0"/>
      <w:autoSpaceDE w:val="0"/>
      <w:autoSpaceDN w:val="0"/>
      <w:adjustRightInd w:val="0"/>
      <w:spacing w:after="0" w:line="240" w:lineRule="auto"/>
      <w:ind w:left="426"/>
      <w:jc w:val="both"/>
      <w:textAlignment w:val="baseline"/>
    </w:pPr>
    <w:rPr>
      <w:rFonts w:ascii="Arial" w:eastAsia="Times New Roman" w:hAnsi="Arial" w:cs="Times New Roman"/>
      <w:szCs w:val="20"/>
      <w:lang w:eastAsia="it-IT"/>
    </w:rPr>
  </w:style>
  <w:style w:type="paragraph" w:styleId="Testofumetto">
    <w:name w:val="Balloon Text"/>
    <w:basedOn w:val="Normale"/>
    <w:link w:val="TestofumettoCarattere"/>
    <w:uiPriority w:val="99"/>
    <w:semiHidden/>
    <w:unhideWhenUsed/>
    <w:rsid w:val="00DB14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14B4"/>
    <w:rPr>
      <w:rFonts w:ascii="Tahoma" w:hAnsi="Tahoma" w:cs="Tahoma"/>
      <w:sz w:val="16"/>
      <w:szCs w:val="16"/>
    </w:rPr>
  </w:style>
  <w:style w:type="paragraph" w:styleId="Paragrafoelenco">
    <w:name w:val="List Paragraph"/>
    <w:basedOn w:val="Normale"/>
    <w:uiPriority w:val="34"/>
    <w:qFormat/>
    <w:rsid w:val="00A24B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qFormat/>
    <w:rsid w:val="00D57BF5"/>
    <w:pPr>
      <w:keepNext/>
      <w:numPr>
        <w:ilvl w:val="1"/>
        <w:numId w:val="2"/>
      </w:numPr>
      <w:spacing w:before="360" w:after="240" w:line="240" w:lineRule="auto"/>
      <w:jc w:val="center"/>
      <w:outlineLvl w:val="1"/>
    </w:pPr>
    <w:rPr>
      <w:rFonts w:ascii="Book Antiqua" w:eastAsia="Times New Roman" w:hAnsi="Book Antiqua" w:cs="Times New Roman"/>
      <w:b/>
      <w:spacing w:val="70"/>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57BF5"/>
    <w:rPr>
      <w:rFonts w:ascii="Book Antiqua" w:eastAsia="Times New Roman" w:hAnsi="Book Antiqua" w:cs="Times New Roman"/>
      <w:b/>
      <w:spacing w:val="70"/>
      <w:sz w:val="28"/>
      <w:szCs w:val="20"/>
      <w:lang w:eastAsia="it-IT"/>
    </w:rPr>
  </w:style>
  <w:style w:type="paragraph" w:styleId="Corpotesto">
    <w:name w:val="Body Text"/>
    <w:aliases w:val="Carattere, Carattere"/>
    <w:basedOn w:val="Normale"/>
    <w:link w:val="CorpotestoCarattere"/>
    <w:rsid w:val="00D57BF5"/>
    <w:pPr>
      <w:spacing w:after="0" w:line="240" w:lineRule="auto"/>
      <w:jc w:val="both"/>
    </w:pPr>
    <w:rPr>
      <w:rFonts w:ascii="Book Antiqua" w:eastAsia="Times New Roman" w:hAnsi="Book Antiqua" w:cs="Times New Roman"/>
      <w:szCs w:val="20"/>
      <w:lang w:eastAsia="it-IT"/>
    </w:rPr>
  </w:style>
  <w:style w:type="character" w:customStyle="1" w:styleId="CorpotestoCarattere">
    <w:name w:val="Corpo testo Carattere"/>
    <w:aliases w:val="Carattere Carattere, Carattere Carattere"/>
    <w:basedOn w:val="Carpredefinitoparagrafo"/>
    <w:link w:val="Corpotesto"/>
    <w:rsid w:val="00D57BF5"/>
    <w:rPr>
      <w:rFonts w:ascii="Book Antiqua" w:eastAsia="Times New Roman" w:hAnsi="Book Antiqua" w:cs="Times New Roman"/>
      <w:szCs w:val="20"/>
      <w:lang w:eastAsia="it-IT"/>
    </w:rPr>
  </w:style>
  <w:style w:type="paragraph" w:styleId="Elenco">
    <w:name w:val="List"/>
    <w:basedOn w:val="Normale"/>
    <w:rsid w:val="00D57BF5"/>
    <w:pPr>
      <w:numPr>
        <w:numId w:val="1"/>
      </w:numPr>
      <w:spacing w:after="120" w:line="240" w:lineRule="auto"/>
      <w:jc w:val="both"/>
    </w:pPr>
    <w:rPr>
      <w:rFonts w:ascii="Arial" w:eastAsia="Times New Roman" w:hAnsi="Arial" w:cs="Times New Roman"/>
      <w:szCs w:val="20"/>
      <w:lang w:eastAsia="it-IT"/>
    </w:rPr>
  </w:style>
  <w:style w:type="paragraph" w:customStyle="1" w:styleId="Rientrocorpodeltesto31">
    <w:name w:val="Rientro corpo del testo 31"/>
    <w:basedOn w:val="Normale"/>
    <w:rsid w:val="00D57BF5"/>
    <w:pPr>
      <w:overflowPunct w:val="0"/>
      <w:autoSpaceDE w:val="0"/>
      <w:autoSpaceDN w:val="0"/>
      <w:adjustRightInd w:val="0"/>
      <w:spacing w:after="0" w:line="240" w:lineRule="auto"/>
      <w:ind w:left="426"/>
      <w:jc w:val="both"/>
      <w:textAlignment w:val="baseline"/>
    </w:pPr>
    <w:rPr>
      <w:rFonts w:ascii="Arial" w:eastAsia="Times New Roman" w:hAnsi="Arial" w:cs="Times New Roman"/>
      <w:szCs w:val="20"/>
      <w:lang w:eastAsia="it-IT"/>
    </w:rPr>
  </w:style>
  <w:style w:type="paragraph" w:styleId="Testofumetto">
    <w:name w:val="Balloon Text"/>
    <w:basedOn w:val="Normale"/>
    <w:link w:val="TestofumettoCarattere"/>
    <w:uiPriority w:val="99"/>
    <w:semiHidden/>
    <w:unhideWhenUsed/>
    <w:rsid w:val="00DB14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14B4"/>
    <w:rPr>
      <w:rFonts w:ascii="Tahoma" w:hAnsi="Tahoma" w:cs="Tahoma"/>
      <w:sz w:val="16"/>
      <w:szCs w:val="16"/>
    </w:rPr>
  </w:style>
  <w:style w:type="paragraph" w:styleId="Paragrafoelenco">
    <w:name w:val="List Paragraph"/>
    <w:basedOn w:val="Normale"/>
    <w:uiPriority w:val="34"/>
    <w:qFormat/>
    <w:rsid w:val="00A24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4320</Words>
  <Characters>24625</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28888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Einaudi Luca</dc:creator>
  <cp:lastModifiedBy>Quaranta Serenella</cp:lastModifiedBy>
  <cp:revision>2</cp:revision>
  <cp:lastPrinted>2018-12-21T16:32:00Z</cp:lastPrinted>
  <dcterms:created xsi:type="dcterms:W3CDTF">2019-07-03T08:32:00Z</dcterms:created>
  <dcterms:modified xsi:type="dcterms:W3CDTF">2019-07-03T08:32:00Z</dcterms:modified>
</cp:coreProperties>
</file>